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bookmarkStart w:id="1" w:name="_Toc457983213"/>
    <w:bookmarkStart w:id="2" w:name="_Toc157146128"/>
    <w:bookmarkStart w:id="3" w:name="_Toc282791269"/>
    <w:bookmarkStart w:id="4" w:name="_Toc276367571"/>
    <w:bookmarkStart w:id="5" w:name="_Toc275788811"/>
    <w:bookmarkStart w:id="6" w:name="_Toc230921626"/>
    <w:bookmarkStart w:id="7" w:name="_Toc183232376"/>
    <w:bookmarkStart w:id="8" w:name="_Toc242062760"/>
    <w:bookmarkStart w:id="9" w:name="_Toc368240515"/>
    <w:bookmarkStart w:id="10" w:name="_Toc366775454"/>
    <w:bookmarkStart w:id="11" w:name="_Toc241996349"/>
    <w:bookmarkStart w:id="12" w:name="_Toc241996400"/>
    <w:bookmarkStart w:id="13" w:name="_Toc241539817"/>
    <w:bookmarkStart w:id="14" w:name="_Toc464125839"/>
    <w:bookmarkStart w:id="15" w:name="_Toc472349837"/>
    <w:bookmarkStart w:id="16" w:name="_GoBack"/>
    <w:bookmarkEnd w:id="16"/>
    <w:p w14:paraId="71EC7A40" w14:textId="77777777" w:rsidR="00CD5768" w:rsidRDefault="006F32FF">
      <w:pPr>
        <w:pStyle w:val="TOC1"/>
        <w:rPr>
          <w:rFonts w:asciiTheme="minorHAnsi" w:eastAsiaTheme="minorEastAsia" w:hAnsiTheme="minorHAnsi" w:cstheme="minorBidi"/>
          <w:sz w:val="24"/>
          <w:szCs w:val="24"/>
        </w:rPr>
      </w:pPr>
      <w:r>
        <w:fldChar w:fldCharType="begin"/>
      </w:r>
      <w:r>
        <w:instrText xml:space="preserve"> TOC \o "1-2" \p " " </w:instrText>
      </w:r>
      <w:r>
        <w:fldChar w:fldCharType="separate"/>
      </w:r>
      <w:r w:rsidR="00CD5768">
        <w:t xml:space="preserve">Introduction </w:t>
      </w:r>
      <w:r w:rsidR="00CD5768">
        <w:fldChar w:fldCharType="begin"/>
      </w:r>
      <w:r w:rsidR="00CD5768">
        <w:instrText xml:space="preserve"> PAGEREF _Toc473817497 \h </w:instrText>
      </w:r>
      <w:r w:rsidR="00CD5768">
        <w:fldChar w:fldCharType="separate"/>
      </w:r>
      <w:r w:rsidR="00932797">
        <w:t>1</w:t>
      </w:r>
      <w:r w:rsidR="00CD5768">
        <w:fldChar w:fldCharType="end"/>
      </w:r>
    </w:p>
    <w:p w14:paraId="181ACCFB" w14:textId="77777777" w:rsidR="00CD5768" w:rsidRDefault="00CD5768">
      <w:pPr>
        <w:pStyle w:val="TOC1"/>
        <w:rPr>
          <w:rFonts w:asciiTheme="minorHAnsi" w:eastAsiaTheme="minorEastAsia" w:hAnsiTheme="minorHAnsi" w:cstheme="minorBidi"/>
          <w:sz w:val="24"/>
          <w:szCs w:val="24"/>
        </w:rPr>
      </w:pPr>
      <w:r w:rsidRPr="00562B52">
        <w:rPr>
          <w:rFonts w:eastAsia="Calibri"/>
        </w:rPr>
        <w:t>Private Conservation Alternative</w:t>
      </w:r>
      <w:r>
        <w:t xml:space="preserve"> </w:t>
      </w:r>
      <w:r>
        <w:fldChar w:fldCharType="begin"/>
      </w:r>
      <w:r>
        <w:instrText xml:space="preserve"> PAGEREF _Toc473817498 \h </w:instrText>
      </w:r>
      <w:r>
        <w:fldChar w:fldCharType="separate"/>
      </w:r>
      <w:r w:rsidR="00932797">
        <w:t>1</w:t>
      </w:r>
      <w:r>
        <w:fldChar w:fldCharType="end"/>
      </w:r>
    </w:p>
    <w:p w14:paraId="57368A08" w14:textId="77777777" w:rsidR="00CD5768" w:rsidRDefault="00CD5768">
      <w:pPr>
        <w:pStyle w:val="TOC1"/>
        <w:rPr>
          <w:rFonts w:asciiTheme="minorHAnsi" w:eastAsiaTheme="minorEastAsia" w:hAnsiTheme="minorHAnsi" w:cstheme="minorBidi"/>
          <w:sz w:val="24"/>
          <w:szCs w:val="24"/>
        </w:rPr>
      </w:pPr>
      <w:r w:rsidRPr="00562B52">
        <w:rPr>
          <w:rFonts w:eastAsia="Calibri"/>
        </w:rPr>
        <w:t>County Agricultural Land Preservation Programs</w:t>
      </w:r>
      <w:r>
        <w:t xml:space="preserve"> </w:t>
      </w:r>
      <w:r>
        <w:fldChar w:fldCharType="begin"/>
      </w:r>
      <w:r>
        <w:instrText xml:space="preserve"> PAGEREF _Toc473817499 \h </w:instrText>
      </w:r>
      <w:r>
        <w:fldChar w:fldCharType="separate"/>
      </w:r>
      <w:r w:rsidR="00932797">
        <w:t>1</w:t>
      </w:r>
      <w:r>
        <w:fldChar w:fldCharType="end"/>
      </w:r>
    </w:p>
    <w:p w14:paraId="625A2E5E" w14:textId="77777777" w:rsidR="00CD5768" w:rsidRDefault="00CD5768">
      <w:pPr>
        <w:pStyle w:val="TOC1"/>
        <w:rPr>
          <w:rFonts w:asciiTheme="minorHAnsi" w:eastAsiaTheme="minorEastAsia" w:hAnsiTheme="minorHAnsi" w:cstheme="minorBidi"/>
          <w:sz w:val="24"/>
          <w:szCs w:val="24"/>
        </w:rPr>
      </w:pPr>
      <w:r w:rsidRPr="00562B52">
        <w:rPr>
          <w:rFonts w:eastAsia="Calibri"/>
        </w:rPr>
        <w:t>Basic Requirements for Property Eligibility</w:t>
      </w:r>
      <w:r>
        <w:t xml:space="preserve"> </w:t>
      </w:r>
      <w:r>
        <w:fldChar w:fldCharType="begin"/>
      </w:r>
      <w:r>
        <w:instrText xml:space="preserve"> PAGEREF _Toc473817500 \h </w:instrText>
      </w:r>
      <w:r>
        <w:fldChar w:fldCharType="separate"/>
      </w:r>
      <w:r w:rsidR="00932797">
        <w:t>2</w:t>
      </w:r>
      <w:r>
        <w:fldChar w:fldCharType="end"/>
      </w:r>
    </w:p>
    <w:p w14:paraId="38B1C7B5" w14:textId="77777777" w:rsidR="00CD5768" w:rsidRDefault="00CD5768">
      <w:pPr>
        <w:pStyle w:val="TOC1"/>
        <w:rPr>
          <w:rFonts w:asciiTheme="minorHAnsi" w:eastAsiaTheme="minorEastAsia" w:hAnsiTheme="minorHAnsi" w:cstheme="minorBidi"/>
          <w:sz w:val="24"/>
          <w:szCs w:val="24"/>
        </w:rPr>
      </w:pPr>
      <w:r w:rsidRPr="00562B52">
        <w:rPr>
          <w:rFonts w:eastAsia="Calibri"/>
        </w:rPr>
        <w:t>Ranking of Farms for Easement Purchase</w:t>
      </w:r>
      <w:r>
        <w:t xml:space="preserve"> </w:t>
      </w:r>
      <w:r>
        <w:fldChar w:fldCharType="begin"/>
      </w:r>
      <w:r>
        <w:instrText xml:space="preserve"> PAGEREF _Toc473817501 \h </w:instrText>
      </w:r>
      <w:r>
        <w:fldChar w:fldCharType="separate"/>
      </w:r>
      <w:r w:rsidR="00932797">
        <w:t>2</w:t>
      </w:r>
      <w:r>
        <w:fldChar w:fldCharType="end"/>
      </w:r>
    </w:p>
    <w:p w14:paraId="17473263" w14:textId="77777777" w:rsidR="00CD5768" w:rsidRDefault="00CD5768">
      <w:pPr>
        <w:pStyle w:val="TOC2"/>
        <w:rPr>
          <w:rFonts w:asciiTheme="minorHAnsi" w:eastAsiaTheme="minorEastAsia" w:hAnsiTheme="minorHAnsi" w:cstheme="minorBidi"/>
          <w:sz w:val="24"/>
        </w:rPr>
      </w:pPr>
      <w:r>
        <w:t xml:space="preserve">Land Evaluation </w:t>
      </w:r>
      <w:r>
        <w:fldChar w:fldCharType="begin"/>
      </w:r>
      <w:r>
        <w:instrText xml:space="preserve"> PAGEREF _Toc473817502 \h </w:instrText>
      </w:r>
      <w:r>
        <w:fldChar w:fldCharType="separate"/>
      </w:r>
      <w:r w:rsidR="00932797">
        <w:t>2</w:t>
      </w:r>
      <w:r>
        <w:fldChar w:fldCharType="end"/>
      </w:r>
    </w:p>
    <w:p w14:paraId="2164CC52" w14:textId="77777777" w:rsidR="00CD5768" w:rsidRDefault="00CD5768">
      <w:pPr>
        <w:pStyle w:val="TOC2"/>
        <w:rPr>
          <w:rFonts w:asciiTheme="minorHAnsi" w:eastAsiaTheme="minorEastAsia" w:hAnsiTheme="minorHAnsi" w:cstheme="minorBidi"/>
          <w:sz w:val="24"/>
        </w:rPr>
      </w:pPr>
      <w:r>
        <w:t xml:space="preserve">Site Assessment </w:t>
      </w:r>
      <w:r>
        <w:fldChar w:fldCharType="begin"/>
      </w:r>
      <w:r>
        <w:instrText xml:space="preserve"> PAGEREF _Toc473817503 \h </w:instrText>
      </w:r>
      <w:r>
        <w:fldChar w:fldCharType="separate"/>
      </w:r>
      <w:r w:rsidR="00932797">
        <w:t>2</w:t>
      </w:r>
      <w:r>
        <w:fldChar w:fldCharType="end"/>
      </w:r>
    </w:p>
    <w:p w14:paraId="32FF1CCA" w14:textId="77777777" w:rsidR="00CD5768" w:rsidRDefault="00CD5768">
      <w:pPr>
        <w:pStyle w:val="TOC1"/>
        <w:rPr>
          <w:rFonts w:asciiTheme="minorHAnsi" w:eastAsiaTheme="minorEastAsia" w:hAnsiTheme="minorHAnsi" w:cstheme="minorBidi"/>
          <w:sz w:val="24"/>
          <w:szCs w:val="24"/>
        </w:rPr>
      </w:pPr>
      <w:r>
        <w:t xml:space="preserve">Easement Appraisal and Purchase </w:t>
      </w:r>
      <w:r>
        <w:fldChar w:fldCharType="begin"/>
      </w:r>
      <w:r>
        <w:instrText xml:space="preserve"> PAGEREF _Toc473817504 \h </w:instrText>
      </w:r>
      <w:r>
        <w:fldChar w:fldCharType="separate"/>
      </w:r>
      <w:r w:rsidR="00932797">
        <w:t>3</w:t>
      </w:r>
      <w:r>
        <w:fldChar w:fldCharType="end"/>
      </w:r>
    </w:p>
    <w:p w14:paraId="0000314D" w14:textId="77777777" w:rsidR="00CD5768" w:rsidRDefault="00CD5768">
      <w:pPr>
        <w:pStyle w:val="TOC1"/>
        <w:rPr>
          <w:rFonts w:asciiTheme="minorHAnsi" w:eastAsiaTheme="minorEastAsia" w:hAnsiTheme="minorHAnsi" w:cstheme="minorBidi"/>
          <w:sz w:val="24"/>
          <w:szCs w:val="24"/>
        </w:rPr>
      </w:pPr>
      <w:r w:rsidRPr="00562B52">
        <w:rPr>
          <w:rFonts w:eastAsia="Calibri"/>
        </w:rPr>
        <w:t>County Funding</w:t>
      </w:r>
      <w:r>
        <w:t xml:space="preserve"> </w:t>
      </w:r>
      <w:r>
        <w:fldChar w:fldCharType="begin"/>
      </w:r>
      <w:r>
        <w:instrText xml:space="preserve"> PAGEREF _Toc473817505 \h </w:instrText>
      </w:r>
      <w:r>
        <w:fldChar w:fldCharType="separate"/>
      </w:r>
      <w:r w:rsidR="00932797">
        <w:t>3</w:t>
      </w:r>
      <w:r>
        <w:fldChar w:fldCharType="end"/>
      </w:r>
    </w:p>
    <w:p w14:paraId="22700821" w14:textId="77777777" w:rsidR="00CD5768" w:rsidRDefault="00CD5768">
      <w:pPr>
        <w:pStyle w:val="TOC1"/>
        <w:rPr>
          <w:rFonts w:asciiTheme="minorHAnsi" w:eastAsiaTheme="minorEastAsia" w:hAnsiTheme="minorHAnsi" w:cstheme="minorBidi"/>
          <w:sz w:val="24"/>
          <w:szCs w:val="24"/>
        </w:rPr>
      </w:pPr>
      <w:r w:rsidRPr="00562B52">
        <w:rPr>
          <w:rFonts w:eastAsia="Calibri"/>
        </w:rPr>
        <w:t>What is Being Purchased?</w:t>
      </w:r>
      <w:r>
        <w:t xml:space="preserve"> </w:t>
      </w:r>
      <w:r>
        <w:fldChar w:fldCharType="begin"/>
      </w:r>
      <w:r>
        <w:instrText xml:space="preserve"> PAGEREF _Toc473817506 \h </w:instrText>
      </w:r>
      <w:r>
        <w:fldChar w:fldCharType="separate"/>
      </w:r>
      <w:r w:rsidR="00932797">
        <w:t>3</w:t>
      </w:r>
      <w:r>
        <w:fldChar w:fldCharType="end"/>
      </w:r>
    </w:p>
    <w:p w14:paraId="3EF49376" w14:textId="77777777" w:rsidR="00CD5768" w:rsidRDefault="00CD5768">
      <w:pPr>
        <w:pStyle w:val="TOC1"/>
        <w:rPr>
          <w:rFonts w:asciiTheme="minorHAnsi" w:eastAsiaTheme="minorEastAsia" w:hAnsiTheme="minorHAnsi" w:cstheme="minorBidi"/>
          <w:sz w:val="24"/>
          <w:szCs w:val="24"/>
        </w:rPr>
      </w:pPr>
      <w:r w:rsidRPr="00562B52">
        <w:rPr>
          <w:rFonts w:eastAsia="Calibri"/>
        </w:rPr>
        <w:t>State Administration</w:t>
      </w:r>
      <w:r>
        <w:t xml:space="preserve"> </w:t>
      </w:r>
      <w:r>
        <w:fldChar w:fldCharType="begin"/>
      </w:r>
      <w:r>
        <w:instrText xml:space="preserve"> PAGEREF _Toc473817507 \h </w:instrText>
      </w:r>
      <w:r>
        <w:fldChar w:fldCharType="separate"/>
      </w:r>
      <w:r w:rsidR="00932797">
        <w:t>3</w:t>
      </w:r>
      <w:r>
        <w:fldChar w:fldCharType="end"/>
      </w:r>
    </w:p>
    <w:p w14:paraId="47C9E358" w14:textId="77777777" w:rsidR="00CD5768" w:rsidRDefault="00CD5768">
      <w:pPr>
        <w:pStyle w:val="TOC1"/>
        <w:rPr>
          <w:rFonts w:asciiTheme="minorHAnsi" w:eastAsiaTheme="minorEastAsia" w:hAnsiTheme="minorHAnsi" w:cstheme="minorBidi"/>
          <w:sz w:val="24"/>
          <w:szCs w:val="24"/>
        </w:rPr>
      </w:pPr>
      <w:r w:rsidRPr="00562B52">
        <w:rPr>
          <w:rFonts w:eastAsia="Calibri"/>
        </w:rPr>
        <w:t>Enabling Act and Legislative History</w:t>
      </w:r>
      <w:r>
        <w:t xml:space="preserve"> </w:t>
      </w:r>
      <w:r>
        <w:fldChar w:fldCharType="begin"/>
      </w:r>
      <w:r>
        <w:instrText xml:space="preserve"> PAGEREF _Toc473817508 \h </w:instrText>
      </w:r>
      <w:r>
        <w:fldChar w:fldCharType="separate"/>
      </w:r>
      <w:r w:rsidR="00932797">
        <w:t>4</w:t>
      </w:r>
      <w:r>
        <w:fldChar w:fldCharType="end"/>
      </w:r>
    </w:p>
    <w:p w14:paraId="272379C4" w14:textId="77777777" w:rsidR="00CD5768" w:rsidRDefault="00CD5768">
      <w:pPr>
        <w:pStyle w:val="TOC1"/>
        <w:rPr>
          <w:rFonts w:asciiTheme="minorHAnsi" w:eastAsiaTheme="minorEastAsia" w:hAnsiTheme="minorHAnsi" w:cstheme="minorBidi"/>
          <w:sz w:val="24"/>
          <w:szCs w:val="24"/>
        </w:rPr>
      </w:pPr>
      <w:r w:rsidRPr="00562B52">
        <w:rPr>
          <w:rFonts w:eastAsia="Calibri"/>
        </w:rPr>
        <w:t>2008 Program Audit by LBFC</w:t>
      </w:r>
      <w:r>
        <w:t xml:space="preserve"> </w:t>
      </w:r>
      <w:r>
        <w:fldChar w:fldCharType="begin"/>
      </w:r>
      <w:r>
        <w:instrText xml:space="preserve"> PAGEREF _Toc473817509 \h </w:instrText>
      </w:r>
      <w:r>
        <w:fldChar w:fldCharType="separate"/>
      </w:r>
      <w:r w:rsidR="00932797">
        <w:t>4</w:t>
      </w:r>
      <w:r>
        <w:fldChar w:fldCharType="end"/>
      </w:r>
    </w:p>
    <w:p w14:paraId="17032308" w14:textId="77777777" w:rsidR="00CD5768" w:rsidRDefault="00CD5768">
      <w:pPr>
        <w:pStyle w:val="TOC1"/>
        <w:rPr>
          <w:rFonts w:asciiTheme="minorHAnsi" w:eastAsiaTheme="minorEastAsia" w:hAnsiTheme="minorHAnsi" w:cstheme="minorBidi"/>
          <w:sz w:val="24"/>
          <w:szCs w:val="24"/>
        </w:rPr>
      </w:pPr>
      <w:r>
        <w:t xml:space="preserve">Resources at ConservationTools.org </w:t>
      </w:r>
      <w:r>
        <w:fldChar w:fldCharType="begin"/>
      </w:r>
      <w:r>
        <w:instrText xml:space="preserve"> PAGEREF _Toc473817510 \h </w:instrText>
      </w:r>
      <w:r>
        <w:fldChar w:fldCharType="separate"/>
      </w:r>
      <w:r w:rsidR="00932797">
        <w:t>4</w:t>
      </w:r>
      <w:r>
        <w:fldChar w:fldCharType="end"/>
      </w:r>
    </w:p>
    <w:p w14:paraId="21D859DB" w14:textId="0EC3C13B" w:rsidR="00A218A7" w:rsidRPr="00A218A7" w:rsidRDefault="006F32FF" w:rsidP="00FB16EB">
      <w:pPr>
        <w:pStyle w:val="Heading1"/>
      </w:pPr>
      <w:r>
        <w:rPr>
          <w:rFonts w:ascii="Palatino Linotype" w:hAnsi="Palatino Linotype" w:cs="Times New Roman"/>
          <w:noProof/>
          <w:spacing w:val="0"/>
          <w:kern w:val="0"/>
          <w:sz w:val="22"/>
          <w:szCs w:val="22"/>
        </w:rPr>
        <w:fldChar w:fldCharType="end"/>
      </w:r>
      <w:bookmarkStart w:id="17" w:name="_Toc473817497"/>
      <w:r w:rsidR="00A218A7" w:rsidRPr="00A218A7">
        <w:t>Introduction</w:t>
      </w:r>
      <w:bookmarkEnd w:id="17"/>
    </w:p>
    <w:p w14:paraId="03FBF23E" w14:textId="77777777" w:rsidR="00A218A7" w:rsidRPr="00A218A7" w:rsidRDefault="00A218A7" w:rsidP="00A218A7">
      <w:pPr>
        <w:pStyle w:val="BodyText"/>
      </w:pPr>
      <w:r w:rsidRPr="00A218A7">
        <w:t>The Pennsylvania Agricultural Conservatio</w:t>
      </w:r>
      <w:r w:rsidRPr="00A218A7">
        <w:rPr>
          <w:bCs/>
          <w:iCs/>
        </w:rPr>
        <w:t>n Eas</w:t>
      </w:r>
      <w:r w:rsidRPr="00A218A7">
        <w:rPr>
          <w:bCs/>
          <w:iCs/>
        </w:rPr>
        <w:t>e</w:t>
      </w:r>
      <w:r w:rsidRPr="00A218A7">
        <w:rPr>
          <w:bCs/>
          <w:iCs/>
        </w:rPr>
        <w:t>ment Purchase Program</w:t>
      </w:r>
      <w:r w:rsidRPr="00A218A7">
        <w:t xml:space="preserve"> (ACEPP) is a voluntary program that enables county governments to protect active farmland by purchasing agricultural </w:t>
      </w:r>
      <w:hyperlink r:id="rId9" w:history="1">
        <w:r w:rsidRPr="00A218A7">
          <w:rPr>
            <w:rStyle w:val="Hyperlink"/>
          </w:rPr>
          <w:t>conserv</w:t>
        </w:r>
        <w:r w:rsidRPr="00A218A7">
          <w:rPr>
            <w:rStyle w:val="Hyperlink"/>
          </w:rPr>
          <w:t>a</w:t>
        </w:r>
        <w:r w:rsidRPr="00A218A7">
          <w:rPr>
            <w:rStyle w:val="Hyperlink"/>
          </w:rPr>
          <w:t>tion easements</w:t>
        </w:r>
      </w:hyperlink>
      <w:r w:rsidRPr="00A218A7">
        <w:t xml:space="preserve"> from willing landowners. (This is sometimes referred to as “purchase of development rights.”) These easements limit the use of farmland to activities compatible with agriculture, while keeping the land in the landowner’s ownership and control. Currently, </w:t>
      </w:r>
      <w:hyperlink r:id="rId10" w:history="1">
        <w:r w:rsidRPr="00A218A7">
          <w:rPr>
            <w:rStyle w:val="Hyperlink"/>
          </w:rPr>
          <w:t>57 counties</w:t>
        </w:r>
      </w:hyperlink>
      <w:r w:rsidRPr="00A218A7">
        <w:t xml:space="preserve"> participate in the program.</w:t>
      </w:r>
    </w:p>
    <w:p w14:paraId="0255DEE8" w14:textId="10D10C89" w:rsidR="000D54E2" w:rsidRPr="000D54E2" w:rsidRDefault="00C0442D" w:rsidP="000D54E2">
      <w:pPr>
        <w:pStyle w:val="BodyText"/>
      </w:pPr>
      <w:r>
        <w:t xml:space="preserve">Farmers in counties with an agricultural land </w:t>
      </w:r>
      <w:r w:rsidR="00A218A7" w:rsidRPr="00A218A7">
        <w:t>prese</w:t>
      </w:r>
      <w:r w:rsidR="00A218A7" w:rsidRPr="00A218A7">
        <w:t>r</w:t>
      </w:r>
      <w:r w:rsidR="00A218A7" w:rsidRPr="00A218A7">
        <w:t xml:space="preserve">vation board may apply to the board to have one or more of their farm parcels considered for easement purchase. The farm must be located in a qualifying </w:t>
      </w:r>
      <w:hyperlink r:id="rId11" w:history="1">
        <w:r w:rsidR="00A218A7" w:rsidRPr="00A218A7">
          <w:rPr>
            <w:rStyle w:val="Hyperlink"/>
          </w:rPr>
          <w:t>agricultural security area</w:t>
        </w:r>
      </w:hyperlink>
      <w:r w:rsidR="00A218A7" w:rsidRPr="00A218A7">
        <w:t>. With farmer demand far exceeding available government funding, only farms with the best soils and other key characteristics (such as stewardship practices and likelihood of develo</w:t>
      </w:r>
      <w:r w:rsidR="00A218A7" w:rsidRPr="00A218A7">
        <w:t>p</w:t>
      </w:r>
      <w:r w:rsidR="00A218A7" w:rsidRPr="00A218A7">
        <w:t>ment) rank high enough to receive easement purchase offers. To purchase easements, counties may use cou</w:t>
      </w:r>
      <w:r w:rsidR="00A218A7" w:rsidRPr="00A218A7">
        <w:t>n</w:t>
      </w:r>
      <w:r w:rsidR="00A218A7" w:rsidRPr="00A218A7">
        <w:lastRenderedPageBreak/>
        <w:t>ty funds</w:t>
      </w:r>
      <w:r w:rsidR="000D54E2" w:rsidRPr="000D54E2">
        <w:rPr>
          <w:rFonts w:ascii="Times New Roman" w:hAnsi="Times New Roman"/>
          <w:sz w:val="24"/>
        </w:rPr>
        <w:t xml:space="preserve"> </w:t>
      </w:r>
      <w:r w:rsidR="000D54E2" w:rsidRPr="000D54E2">
        <w:t>or seek state funds through the state pr</w:t>
      </w:r>
      <w:r w:rsidR="000D54E2" w:rsidRPr="000D54E2">
        <w:t>o</w:t>
      </w:r>
      <w:r w:rsidR="000D54E2" w:rsidRPr="000D54E2">
        <w:t>gram.</w:t>
      </w:r>
    </w:p>
    <w:p w14:paraId="33552A6C" w14:textId="1B29A9DF" w:rsidR="000D54E2" w:rsidRPr="000D54E2" w:rsidRDefault="000D54E2" w:rsidP="000D54E2">
      <w:pPr>
        <w:pStyle w:val="BodyText"/>
      </w:pPr>
      <w:r w:rsidRPr="000D54E2">
        <w:t>ACEPP has been tremendously successful, making Pennsylvania a national leader in farmland preserv</w:t>
      </w:r>
      <w:r w:rsidRPr="000D54E2">
        <w:t>a</w:t>
      </w:r>
      <w:r w:rsidRPr="000D54E2">
        <w:t>tion. In addition to saving the land necessary for food production, it has encouraged soil and water conse</w:t>
      </w:r>
      <w:r w:rsidRPr="000D54E2">
        <w:t>r</w:t>
      </w:r>
      <w:r w:rsidRPr="000D54E2">
        <w:t xml:space="preserve">vation, and maintained the rural heritage of communities. Since 1989, the program has purchased easements on </w:t>
      </w:r>
      <w:r w:rsidR="00B2313A">
        <w:t>more than 5,0</w:t>
      </w:r>
      <w:r w:rsidRPr="000D54E2">
        <w:t>00 farms, permanently preserving more than 5</w:t>
      </w:r>
      <w:r w:rsidR="00B2313A">
        <w:t>3</w:t>
      </w:r>
      <w:r w:rsidRPr="000D54E2">
        <w:t>0,000 acres. The program is overseen by the Pennsylvania Agricultural Land Preservation Board and managed by the Pennsylvania Department of Agriculture Bureau of Farmland Preservation.</w:t>
      </w:r>
    </w:p>
    <w:p w14:paraId="689A646D" w14:textId="429AB908" w:rsidR="0051396D" w:rsidRPr="00A218A7" w:rsidRDefault="0051396D" w:rsidP="0051396D">
      <w:pPr>
        <w:pStyle w:val="Heading1"/>
        <w:rPr>
          <w:rFonts w:eastAsia="Calibri"/>
        </w:rPr>
      </w:pPr>
      <w:bookmarkStart w:id="18" w:name="_Toc473817498"/>
      <w:r>
        <w:rPr>
          <w:rFonts w:eastAsia="Calibri"/>
        </w:rPr>
        <w:t xml:space="preserve">Private Conservation </w:t>
      </w:r>
      <w:r w:rsidR="00425AFB">
        <w:rPr>
          <w:rFonts w:eastAsia="Calibri"/>
        </w:rPr>
        <w:t>Alternative</w:t>
      </w:r>
      <w:bookmarkEnd w:id="18"/>
    </w:p>
    <w:p w14:paraId="7150974E" w14:textId="2545C29E" w:rsidR="0051396D" w:rsidRPr="00A218A7" w:rsidRDefault="00425AFB" w:rsidP="0051396D">
      <w:pPr>
        <w:pStyle w:val="BodyText"/>
      </w:pPr>
      <w:r>
        <w:t>Rather than going through ACEPP, farmers can i</w:t>
      </w:r>
      <w:r>
        <w:t>n</w:t>
      </w:r>
      <w:r>
        <w:t>stead</w:t>
      </w:r>
      <w:r w:rsidRPr="00425AFB">
        <w:t xml:space="preserve"> permanently protect their farms </w:t>
      </w:r>
      <w:r>
        <w:t>by donating or selling conservation easements to private charitable land trusts</w:t>
      </w:r>
      <w:r w:rsidRPr="00425AFB">
        <w:t xml:space="preserve">. </w:t>
      </w:r>
      <w:r w:rsidR="005E1250">
        <w:t>The ACEPP and private alternative have</w:t>
      </w:r>
      <w:r w:rsidRPr="00425AFB">
        <w:t xml:space="preserve"> </w:t>
      </w:r>
      <w:r w:rsidR="005E1250">
        <w:t xml:space="preserve">different features and </w:t>
      </w:r>
      <w:r w:rsidRPr="00425AFB">
        <w:t>pros and cons</w:t>
      </w:r>
      <w:r>
        <w:t xml:space="preserve">, which are </w:t>
      </w:r>
      <w:r w:rsidR="005E1250">
        <w:t>co</w:t>
      </w:r>
      <w:r w:rsidR="005E1250">
        <w:t>m</w:t>
      </w:r>
      <w:r w:rsidR="005E1250">
        <w:t>pared and contrasted</w:t>
      </w:r>
      <w:r>
        <w:t xml:space="preserve"> in the guide </w:t>
      </w:r>
      <w:hyperlink r:id="rId12" w:history="1">
        <w:r w:rsidRPr="00120C68">
          <w:rPr>
            <w:rStyle w:val="Hyperlink"/>
            <w:i/>
          </w:rPr>
          <w:t>Farm Preservation Options for Landowners</w:t>
        </w:r>
      </w:hyperlink>
      <w:r w:rsidR="005E1250" w:rsidRPr="00D12681">
        <w:t>.</w:t>
      </w:r>
    </w:p>
    <w:p w14:paraId="19655B42" w14:textId="2D1C6546" w:rsidR="00A218A7" w:rsidRPr="00A218A7" w:rsidRDefault="00A218A7" w:rsidP="000D54E2">
      <w:pPr>
        <w:pStyle w:val="Heading1"/>
        <w:rPr>
          <w:rFonts w:eastAsia="Calibri"/>
        </w:rPr>
      </w:pPr>
      <w:bookmarkStart w:id="19" w:name="_Toc473817499"/>
      <w:r w:rsidRPr="00A218A7">
        <w:rPr>
          <w:rFonts w:eastAsia="Calibri"/>
        </w:rPr>
        <w:t>County Agricultural Land Preservation Programs</w:t>
      </w:r>
      <w:bookmarkEnd w:id="19"/>
    </w:p>
    <w:p w14:paraId="606AA8B3" w14:textId="77147197" w:rsidR="00A218A7" w:rsidRPr="00A218A7" w:rsidRDefault="00A218A7" w:rsidP="00A218A7">
      <w:pPr>
        <w:pStyle w:val="BodyText"/>
      </w:pPr>
      <w:r w:rsidRPr="00A218A7">
        <w:t>A county that contains one or more agriculture secur</w:t>
      </w:r>
      <w:r w:rsidRPr="00A218A7">
        <w:t>i</w:t>
      </w:r>
      <w:r w:rsidRPr="00A218A7">
        <w:t>ty areas may establish a</w:t>
      </w:r>
      <w:r w:rsidR="00E1485D">
        <w:t>n agricultural land preservation board and</w:t>
      </w:r>
      <w:r w:rsidRPr="00A218A7">
        <w:t xml:space="preserve"> program to purchase agricu</w:t>
      </w:r>
      <w:r w:rsidRPr="00A218A7">
        <w:t>l</w:t>
      </w:r>
      <w:r w:rsidRPr="00A218A7">
        <w:t>tural conservation easements on farms within these areas using state funding. The county program must be approved by the state.</w:t>
      </w:r>
    </w:p>
    <w:p w14:paraId="27414AAC" w14:textId="64490CC3" w:rsidR="00A218A7" w:rsidRPr="00A218A7" w:rsidRDefault="00957018" w:rsidP="00A218A7">
      <w:pPr>
        <w:pStyle w:val="BodyText"/>
      </w:pPr>
      <w:r>
        <w:t>T</w:t>
      </w:r>
      <w:r w:rsidR="00A218A7" w:rsidRPr="00A218A7">
        <w:t xml:space="preserve">he county agricultural land preservation board, </w:t>
      </w:r>
      <w:r>
        <w:t xml:space="preserve">which oversees the program, </w:t>
      </w:r>
      <w:r w:rsidR="00A218A7" w:rsidRPr="00A218A7">
        <w:t xml:space="preserve">is composed of 5-9 members appointed by the county governing body. A </w:t>
      </w:r>
      <w:r w:rsidR="00A218A7" w:rsidRPr="00A218A7">
        <w:lastRenderedPageBreak/>
        <w:t xml:space="preserve">program administrator, </w:t>
      </w:r>
      <w:r w:rsidR="00E1485D">
        <w:t xml:space="preserve">typically </w:t>
      </w:r>
      <w:r w:rsidR="00A218A7" w:rsidRPr="00A218A7">
        <w:t>employed by the county conservation district or planning commission, assists the board.</w:t>
      </w:r>
    </w:p>
    <w:p w14:paraId="6FBAFC57" w14:textId="3BC51BCC" w:rsidR="00A218A7" w:rsidRPr="00A218A7" w:rsidRDefault="00A218A7" w:rsidP="00A218A7">
      <w:pPr>
        <w:pStyle w:val="BodyText"/>
      </w:pPr>
      <w:r w:rsidRPr="00A218A7">
        <w:t>The board establishes standards and procedures</w:t>
      </w:r>
      <w:r w:rsidR="005F1625">
        <w:t>, wit</w:t>
      </w:r>
      <w:r w:rsidR="005F1625">
        <w:t>h</w:t>
      </w:r>
      <w:r w:rsidR="005F1625">
        <w:t>in the parameters set by state law,</w:t>
      </w:r>
      <w:r w:rsidRPr="00A218A7">
        <w:t xml:space="preserve"> to guide the selection of properties for preservation.</w:t>
      </w:r>
    </w:p>
    <w:p w14:paraId="736F7F7A" w14:textId="77777777" w:rsidR="00A218A7" w:rsidRPr="00A218A7" w:rsidRDefault="00A218A7" w:rsidP="00A218A7">
      <w:pPr>
        <w:pStyle w:val="Heading1"/>
        <w:rPr>
          <w:rFonts w:eastAsia="Calibri"/>
        </w:rPr>
      </w:pPr>
      <w:bookmarkStart w:id="20" w:name="_Toc473817500"/>
      <w:r w:rsidRPr="00A218A7">
        <w:rPr>
          <w:rFonts w:eastAsia="Calibri"/>
        </w:rPr>
        <w:t>Basic Requirements for Property Eligibility</w:t>
      </w:r>
      <w:bookmarkEnd w:id="20"/>
    </w:p>
    <w:p w14:paraId="177A5E7D" w14:textId="77777777" w:rsidR="00A218A7" w:rsidRPr="00A218A7" w:rsidRDefault="00A218A7" w:rsidP="00A218A7">
      <w:pPr>
        <w:pStyle w:val="BodyText"/>
      </w:pPr>
      <w:r w:rsidRPr="00A218A7">
        <w:t>Properties must meet the state’s basic requirements for the purchase program, listed below:</w:t>
      </w:r>
    </w:p>
    <w:p w14:paraId="0975CDFC" w14:textId="059E229A" w:rsidR="00A218A7" w:rsidRPr="00A218A7" w:rsidRDefault="00A218A7" w:rsidP="007D20AE">
      <w:pPr>
        <w:pStyle w:val="BodyBullet"/>
      </w:pPr>
      <w:r w:rsidRPr="00A218A7">
        <w:t>The property must be located in an agriculture s</w:t>
      </w:r>
      <w:r w:rsidRPr="00A218A7">
        <w:t>e</w:t>
      </w:r>
      <w:r w:rsidRPr="00A218A7">
        <w:t>curity area, which is comprised of at least 500 acres of viable agricultural land in one or more ownerships.</w:t>
      </w:r>
    </w:p>
    <w:p w14:paraId="076BEBD5" w14:textId="77777777" w:rsidR="00A218A7" w:rsidRPr="00A218A7" w:rsidRDefault="00A218A7" w:rsidP="007D20AE">
      <w:pPr>
        <w:pStyle w:val="BodyBullet"/>
      </w:pPr>
      <w:r w:rsidRPr="00A218A7">
        <w:t>The property must be at least 50 acres in size. However, parcels as small as 10 acres may be pr</w:t>
      </w:r>
      <w:r w:rsidRPr="00A218A7">
        <w:t>e</w:t>
      </w:r>
      <w:r w:rsidRPr="00A218A7">
        <w:t xml:space="preserve">served </w:t>
      </w:r>
      <w:r w:rsidRPr="00A218A7">
        <w:rPr>
          <w:i/>
        </w:rPr>
        <w:t>if</w:t>
      </w:r>
      <w:r w:rsidRPr="00A218A7">
        <w:t xml:space="preserve"> they are adjacent to existing preserved farmland or used for the production of crops unique to the area. </w:t>
      </w:r>
    </w:p>
    <w:p w14:paraId="5242EF18" w14:textId="77777777" w:rsidR="00A218A7" w:rsidRPr="00A218A7" w:rsidRDefault="00A218A7" w:rsidP="007D20AE">
      <w:pPr>
        <w:pStyle w:val="BodyBullet"/>
      </w:pPr>
      <w:r w:rsidRPr="00A218A7">
        <w:t>At least 50% of the property must be either ha</w:t>
      </w:r>
      <w:r w:rsidRPr="00A218A7">
        <w:t>r</w:t>
      </w:r>
      <w:r w:rsidRPr="00A218A7">
        <w:t>vested cropland, pasture, or grazing land, and it must contain at least 50% of soils of land capabi</w:t>
      </w:r>
      <w:r w:rsidRPr="00A218A7">
        <w:t>l</w:t>
      </w:r>
      <w:r w:rsidRPr="00A218A7">
        <w:t>ity classes I-IV, as defined by USDA-NRCS.</w:t>
      </w:r>
    </w:p>
    <w:p w14:paraId="6CDB45B5" w14:textId="77777777" w:rsidR="00A218A7" w:rsidRPr="00A218A7" w:rsidRDefault="00A218A7" w:rsidP="00A218A7">
      <w:pPr>
        <w:pStyle w:val="Heading1"/>
        <w:rPr>
          <w:rFonts w:eastAsia="Calibri"/>
        </w:rPr>
      </w:pPr>
      <w:bookmarkStart w:id="21" w:name="_Toc473817501"/>
      <w:r w:rsidRPr="00A218A7">
        <w:rPr>
          <w:rFonts w:eastAsia="Calibri"/>
        </w:rPr>
        <w:t>Ranking of Farms for Easement Purchase</w:t>
      </w:r>
      <w:bookmarkEnd w:id="21"/>
    </w:p>
    <w:p w14:paraId="3D9690EF" w14:textId="092414CD" w:rsidR="00A218A7" w:rsidRPr="00A218A7" w:rsidRDefault="005F1625" w:rsidP="00A218A7">
      <w:pPr>
        <w:pStyle w:val="BodyText"/>
      </w:pPr>
      <w:r>
        <w:t>Each county board</w:t>
      </w:r>
      <w:r w:rsidR="00A218A7" w:rsidRPr="00A218A7">
        <w:t xml:space="preserve"> establishes a ranking system for properties based on the state’s minimum requirements</w:t>
      </w:r>
      <w:r w:rsidR="002D2AB8">
        <w:t xml:space="preserve"> and subject to</w:t>
      </w:r>
      <w:r w:rsidR="00A218A7" w:rsidRPr="00A218A7">
        <w:t xml:space="preserve"> approval by the state board. Counties must make purchase offers to farmers strictly in a</w:t>
      </w:r>
      <w:r w:rsidR="00A218A7" w:rsidRPr="00A218A7">
        <w:t>c</w:t>
      </w:r>
      <w:r w:rsidR="00A218A7" w:rsidRPr="00A218A7">
        <w:t>cordance with the ranking of applications under the county’s ranking system. A county must offer to pu</w:t>
      </w:r>
      <w:r w:rsidR="00A218A7" w:rsidRPr="00A218A7">
        <w:t>r</w:t>
      </w:r>
      <w:r w:rsidR="00A218A7" w:rsidRPr="00A218A7">
        <w:t xml:space="preserve">chase the highest scoring farm(s) first. </w:t>
      </w:r>
    </w:p>
    <w:p w14:paraId="0D7E400D" w14:textId="573F4490" w:rsidR="00860EA1" w:rsidRPr="002D2AB8" w:rsidRDefault="00A218A7" w:rsidP="00A218A7">
      <w:pPr>
        <w:pStyle w:val="BodyText"/>
      </w:pPr>
      <w:r w:rsidRPr="00A218A7">
        <w:t>Though the state board mandates much of the ranking system, each county makes a number of decisions r</w:t>
      </w:r>
      <w:r w:rsidRPr="00A218A7">
        <w:t>e</w:t>
      </w:r>
      <w:r w:rsidRPr="00A218A7">
        <w:t xml:space="preserve">garding the scoring and weighting </w:t>
      </w:r>
      <w:r w:rsidR="000D54E2">
        <w:t xml:space="preserve">of different property factors. </w:t>
      </w:r>
      <w:r w:rsidRPr="00A218A7">
        <w:t>Counties are required to use t</w:t>
      </w:r>
      <w:r w:rsidRPr="00A218A7">
        <w:rPr>
          <w:iCs/>
        </w:rPr>
        <w:t xml:space="preserve">he </w:t>
      </w:r>
      <w:hyperlink r:id="rId13" w:history="1">
        <w:r w:rsidRPr="00A218A7">
          <w:rPr>
            <w:rStyle w:val="Hyperlink"/>
          </w:rPr>
          <w:t>Land Evaluation and Site Assessment</w:t>
        </w:r>
      </w:hyperlink>
      <w:r w:rsidRPr="00A218A7">
        <w:rPr>
          <w:iCs/>
        </w:rPr>
        <w:t xml:space="preserve"> system.</w:t>
      </w:r>
      <w:r w:rsidR="002D2AB8">
        <w:t xml:space="preserve"> </w:t>
      </w:r>
      <w:r w:rsidRPr="00A218A7">
        <w:rPr>
          <w:iCs/>
        </w:rPr>
        <w:t xml:space="preserve">This assessment is based on </w:t>
      </w:r>
      <w:r w:rsidR="002D2AB8">
        <w:rPr>
          <w:iCs/>
        </w:rPr>
        <w:t>a</w:t>
      </w:r>
      <w:r w:rsidRPr="00A218A7">
        <w:rPr>
          <w:iCs/>
        </w:rPr>
        <w:t xml:space="preserve"> land evaluation, which exa</w:t>
      </w:r>
      <w:r w:rsidRPr="00A218A7">
        <w:rPr>
          <w:iCs/>
        </w:rPr>
        <w:t>m</w:t>
      </w:r>
      <w:r w:rsidRPr="00A218A7">
        <w:rPr>
          <w:iCs/>
        </w:rPr>
        <w:t xml:space="preserve">ines the quality of soils, and </w:t>
      </w:r>
      <w:r w:rsidR="002D2AB8">
        <w:rPr>
          <w:iCs/>
        </w:rPr>
        <w:t xml:space="preserve">a </w:t>
      </w:r>
      <w:r w:rsidRPr="00A218A7">
        <w:rPr>
          <w:iCs/>
        </w:rPr>
        <w:t>site assessment, which evaluates the development potential, farmland pote</w:t>
      </w:r>
      <w:r w:rsidRPr="00A218A7">
        <w:rPr>
          <w:iCs/>
        </w:rPr>
        <w:t>n</w:t>
      </w:r>
      <w:r w:rsidRPr="00A218A7">
        <w:rPr>
          <w:iCs/>
        </w:rPr>
        <w:lastRenderedPageBreak/>
        <w:t xml:space="preserve">tial, </w:t>
      </w:r>
      <w:r w:rsidR="002D2AB8" w:rsidRPr="00A218A7">
        <w:t>and the potential to create a clustering of pr</w:t>
      </w:r>
      <w:r w:rsidR="002D2AB8" w:rsidRPr="00A218A7">
        <w:t>e</w:t>
      </w:r>
      <w:r w:rsidR="002D2AB8" w:rsidRPr="00A218A7">
        <w:t>served farmland</w:t>
      </w:r>
      <w:r w:rsidRPr="00A218A7">
        <w:rPr>
          <w:iCs/>
        </w:rPr>
        <w:t xml:space="preserve">. The weighted values </w:t>
      </w:r>
      <w:r w:rsidR="003A20F8">
        <w:rPr>
          <w:iCs/>
        </w:rPr>
        <w:t xml:space="preserve">of the factors </w:t>
      </w:r>
      <w:r w:rsidRPr="00A218A7">
        <w:rPr>
          <w:iCs/>
        </w:rPr>
        <w:t>must total 100% and fall within the following ranges:</w:t>
      </w:r>
    </w:p>
    <w:tbl>
      <w:tblPr>
        <w:tblW w:w="47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29"/>
        <w:gridCol w:w="1170"/>
        <w:gridCol w:w="1170"/>
      </w:tblGrid>
      <w:tr w:rsidR="003A20F8" w:rsidRPr="00E0482C" w14:paraId="464CCE94" w14:textId="77777777" w:rsidTr="003A20F8">
        <w:trPr>
          <w:trHeight w:val="357"/>
          <w:tblCellSpacing w:w="0" w:type="dxa"/>
        </w:trPr>
        <w:tc>
          <w:tcPr>
            <w:tcW w:w="2429" w:type="dxa"/>
            <w:tcBorders>
              <w:top w:val="outset" w:sz="6" w:space="0" w:color="auto"/>
              <w:left w:val="outset" w:sz="6" w:space="0" w:color="auto"/>
              <w:bottom w:val="outset" w:sz="6" w:space="0" w:color="auto"/>
              <w:right w:val="outset" w:sz="6" w:space="0" w:color="auto"/>
            </w:tcBorders>
            <w:shd w:val="clear" w:color="auto" w:fill="auto"/>
          </w:tcPr>
          <w:p w14:paraId="3F6BF08A" w14:textId="77777777" w:rsidR="00860EA1" w:rsidRPr="00E0482C" w:rsidRDefault="00860EA1" w:rsidP="00860EA1">
            <w:pPr>
              <w:spacing w:before="2" w:after="2"/>
            </w:pPr>
            <w:r w:rsidRPr="00E0482C">
              <w:t> </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2AF7B25B" w14:textId="59A8C26F" w:rsidR="00860EA1" w:rsidRPr="00E0482C" w:rsidRDefault="003A20F8" w:rsidP="003A20F8">
            <w:pPr>
              <w:spacing w:before="2" w:after="2"/>
              <w:jc w:val="center"/>
            </w:pPr>
            <w:r w:rsidRPr="00E0482C">
              <w:t>Minimum</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7B8206D3" w14:textId="3B4ED0B0" w:rsidR="00860EA1" w:rsidRPr="00E0482C" w:rsidRDefault="00860EA1" w:rsidP="003A20F8">
            <w:pPr>
              <w:spacing w:before="2" w:after="2"/>
              <w:jc w:val="center"/>
            </w:pPr>
            <w:r w:rsidRPr="00E0482C">
              <w:t>Maximum</w:t>
            </w:r>
          </w:p>
        </w:tc>
      </w:tr>
      <w:tr w:rsidR="003A20F8" w:rsidRPr="00E0482C" w14:paraId="74CB6159" w14:textId="77777777" w:rsidTr="003A20F8">
        <w:trPr>
          <w:trHeight w:val="336"/>
          <w:tblCellSpacing w:w="0" w:type="dxa"/>
        </w:trPr>
        <w:tc>
          <w:tcPr>
            <w:tcW w:w="2429" w:type="dxa"/>
            <w:tcBorders>
              <w:top w:val="outset" w:sz="6" w:space="0" w:color="auto"/>
              <w:left w:val="outset" w:sz="6" w:space="0" w:color="auto"/>
              <w:bottom w:val="outset" w:sz="6" w:space="0" w:color="auto"/>
              <w:right w:val="outset" w:sz="6" w:space="0" w:color="auto"/>
            </w:tcBorders>
            <w:shd w:val="clear" w:color="auto" w:fill="auto"/>
          </w:tcPr>
          <w:p w14:paraId="3F322156" w14:textId="5DC3B3B1" w:rsidR="00860EA1" w:rsidRPr="00E0482C" w:rsidRDefault="00860EA1" w:rsidP="00860EA1">
            <w:pPr>
              <w:spacing w:before="2" w:after="2"/>
            </w:pPr>
            <w:r w:rsidRPr="00E0482C">
              <w:t>Land Evaluation </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0135C300" w14:textId="77777777" w:rsidR="00860EA1" w:rsidRPr="00E0482C" w:rsidRDefault="00860EA1" w:rsidP="003A20F8">
            <w:pPr>
              <w:spacing w:before="2" w:after="2"/>
              <w:jc w:val="center"/>
            </w:pPr>
            <w:r w:rsidRPr="00E0482C">
              <w:t>40%</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068699EA" w14:textId="77777777" w:rsidR="00860EA1" w:rsidRPr="00E0482C" w:rsidRDefault="00860EA1" w:rsidP="003A20F8">
            <w:pPr>
              <w:spacing w:before="2" w:after="2"/>
              <w:jc w:val="center"/>
            </w:pPr>
            <w:r w:rsidRPr="00E0482C">
              <w:t>70%</w:t>
            </w:r>
          </w:p>
        </w:tc>
      </w:tr>
      <w:tr w:rsidR="003A20F8" w:rsidRPr="00E0482C" w14:paraId="28E98D00" w14:textId="77777777" w:rsidTr="003A20F8">
        <w:trPr>
          <w:trHeight w:val="336"/>
          <w:tblCellSpacing w:w="0" w:type="dxa"/>
        </w:trPr>
        <w:tc>
          <w:tcPr>
            <w:tcW w:w="2429" w:type="dxa"/>
            <w:tcBorders>
              <w:top w:val="outset" w:sz="6" w:space="0" w:color="auto"/>
              <w:left w:val="outset" w:sz="6" w:space="0" w:color="auto"/>
              <w:bottom w:val="outset" w:sz="6" w:space="0" w:color="auto"/>
              <w:right w:val="outset" w:sz="6" w:space="0" w:color="auto"/>
            </w:tcBorders>
            <w:shd w:val="clear" w:color="auto" w:fill="auto"/>
          </w:tcPr>
          <w:p w14:paraId="16ACD803" w14:textId="77777777" w:rsidR="00860EA1" w:rsidRPr="00E0482C" w:rsidRDefault="00860EA1" w:rsidP="00860EA1">
            <w:pPr>
              <w:spacing w:before="2" w:after="2"/>
            </w:pPr>
            <w:r w:rsidRPr="00E0482C">
              <w:t>Development Potential</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7FE79DBD" w14:textId="77777777" w:rsidR="00860EA1" w:rsidRPr="00E0482C" w:rsidRDefault="00860EA1" w:rsidP="003A20F8">
            <w:pPr>
              <w:spacing w:before="2" w:after="2"/>
              <w:jc w:val="center"/>
            </w:pPr>
            <w:r w:rsidRPr="00E0482C">
              <w:t>10%</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739B53C4" w14:textId="77777777" w:rsidR="00860EA1" w:rsidRPr="00E0482C" w:rsidRDefault="00860EA1" w:rsidP="003A20F8">
            <w:pPr>
              <w:spacing w:before="2" w:after="2"/>
              <w:jc w:val="center"/>
            </w:pPr>
            <w:r w:rsidRPr="00E0482C">
              <w:t>40%</w:t>
            </w:r>
          </w:p>
        </w:tc>
      </w:tr>
      <w:tr w:rsidR="003A20F8" w:rsidRPr="00E0482C" w14:paraId="68B99A6B" w14:textId="77777777" w:rsidTr="003A20F8">
        <w:trPr>
          <w:trHeight w:val="357"/>
          <w:tblCellSpacing w:w="0" w:type="dxa"/>
        </w:trPr>
        <w:tc>
          <w:tcPr>
            <w:tcW w:w="2429" w:type="dxa"/>
            <w:tcBorders>
              <w:top w:val="outset" w:sz="6" w:space="0" w:color="auto"/>
              <w:left w:val="outset" w:sz="6" w:space="0" w:color="auto"/>
              <w:bottom w:val="outset" w:sz="6" w:space="0" w:color="auto"/>
              <w:right w:val="outset" w:sz="6" w:space="0" w:color="auto"/>
            </w:tcBorders>
            <w:shd w:val="clear" w:color="auto" w:fill="auto"/>
          </w:tcPr>
          <w:p w14:paraId="153922C8" w14:textId="77777777" w:rsidR="00860EA1" w:rsidRPr="00E0482C" w:rsidRDefault="00860EA1" w:rsidP="00860EA1">
            <w:pPr>
              <w:spacing w:before="2" w:after="2"/>
            </w:pPr>
            <w:r w:rsidRPr="00E0482C">
              <w:t>Farmland Potential</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4BF8175D" w14:textId="77777777" w:rsidR="00860EA1" w:rsidRPr="00E0482C" w:rsidRDefault="00860EA1" w:rsidP="003A20F8">
            <w:pPr>
              <w:spacing w:before="2" w:after="2"/>
              <w:jc w:val="center"/>
            </w:pPr>
            <w:r w:rsidRPr="00E0482C">
              <w:t>10%</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07A53A48" w14:textId="77777777" w:rsidR="00860EA1" w:rsidRPr="00E0482C" w:rsidRDefault="00860EA1" w:rsidP="003A20F8">
            <w:pPr>
              <w:spacing w:before="2" w:after="2"/>
              <w:jc w:val="center"/>
            </w:pPr>
            <w:r w:rsidRPr="00E0482C">
              <w:t>40%</w:t>
            </w:r>
          </w:p>
        </w:tc>
      </w:tr>
      <w:tr w:rsidR="003A20F8" w:rsidRPr="00E0482C" w14:paraId="12428883" w14:textId="77777777" w:rsidTr="003A20F8">
        <w:trPr>
          <w:trHeight w:val="327"/>
          <w:tblCellSpacing w:w="0" w:type="dxa"/>
        </w:trPr>
        <w:tc>
          <w:tcPr>
            <w:tcW w:w="2429" w:type="dxa"/>
            <w:tcBorders>
              <w:top w:val="outset" w:sz="6" w:space="0" w:color="auto"/>
              <w:left w:val="outset" w:sz="6" w:space="0" w:color="auto"/>
              <w:bottom w:val="outset" w:sz="6" w:space="0" w:color="auto"/>
              <w:right w:val="outset" w:sz="6" w:space="0" w:color="auto"/>
            </w:tcBorders>
            <w:shd w:val="clear" w:color="auto" w:fill="auto"/>
          </w:tcPr>
          <w:p w14:paraId="6A0A7D53" w14:textId="77777777" w:rsidR="00860EA1" w:rsidRPr="00E0482C" w:rsidRDefault="00860EA1" w:rsidP="00860EA1">
            <w:pPr>
              <w:spacing w:before="2" w:after="2"/>
            </w:pPr>
            <w:r w:rsidRPr="00E0482C">
              <w:t>Clustering Potential</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2F76B6F7" w14:textId="77777777" w:rsidR="00860EA1" w:rsidRPr="00E0482C" w:rsidRDefault="00860EA1" w:rsidP="003A20F8">
            <w:pPr>
              <w:spacing w:before="2" w:after="2"/>
              <w:jc w:val="center"/>
            </w:pPr>
            <w:r w:rsidRPr="00E0482C">
              <w:t>10%</w:t>
            </w:r>
          </w:p>
        </w:tc>
        <w:tc>
          <w:tcPr>
            <w:tcW w:w="1170" w:type="dxa"/>
            <w:tcBorders>
              <w:top w:val="outset" w:sz="6" w:space="0" w:color="auto"/>
              <w:left w:val="outset" w:sz="6" w:space="0" w:color="auto"/>
              <w:bottom w:val="outset" w:sz="6" w:space="0" w:color="auto"/>
              <w:right w:val="outset" w:sz="6" w:space="0" w:color="auto"/>
            </w:tcBorders>
            <w:shd w:val="clear" w:color="auto" w:fill="auto"/>
          </w:tcPr>
          <w:p w14:paraId="7855E517" w14:textId="77777777" w:rsidR="00860EA1" w:rsidRPr="00E0482C" w:rsidRDefault="00860EA1" w:rsidP="003A20F8">
            <w:pPr>
              <w:spacing w:before="2" w:after="2"/>
              <w:jc w:val="center"/>
            </w:pPr>
            <w:r w:rsidRPr="00E0482C">
              <w:t>40%</w:t>
            </w:r>
          </w:p>
        </w:tc>
      </w:tr>
    </w:tbl>
    <w:p w14:paraId="4B3A2BED" w14:textId="402C5E2C" w:rsidR="00E0482C" w:rsidRDefault="00E0482C" w:rsidP="00E0482C">
      <w:pPr>
        <w:pStyle w:val="Heading2"/>
      </w:pPr>
      <w:bookmarkStart w:id="22" w:name="_Toc473817502"/>
      <w:r>
        <w:t>Land Evaluation</w:t>
      </w:r>
      <w:bookmarkEnd w:id="22"/>
    </w:p>
    <w:p w14:paraId="48919ACD" w14:textId="77777777" w:rsidR="00A218A7" w:rsidRPr="00A218A7" w:rsidRDefault="00A218A7" w:rsidP="00A218A7">
      <w:pPr>
        <w:pStyle w:val="BodyText"/>
      </w:pPr>
      <w:r w:rsidRPr="00A218A7">
        <w:t>During the land evaluation process, counties must designate the source of the soils data and measure the value of the soil based on a 100-point scale, with 100 points indicating the best soils for agricultural produ</w:t>
      </w:r>
      <w:r w:rsidRPr="00A218A7">
        <w:t>c</w:t>
      </w:r>
      <w:r w:rsidRPr="00A218A7">
        <w:t xml:space="preserve">tion. </w:t>
      </w:r>
    </w:p>
    <w:p w14:paraId="52321080" w14:textId="17444348" w:rsidR="00A218A7" w:rsidRPr="00A218A7" w:rsidRDefault="00A218A7" w:rsidP="00A218A7">
      <w:pPr>
        <w:pStyle w:val="BodyText"/>
      </w:pPr>
      <w:r w:rsidRPr="00A218A7">
        <w:t xml:space="preserve">Either or both of the following may be used for soils data: (1) The county soil survey, as published by the USDA-NRCS in cooperation with the Pennsylvania State University and the Department of Agriculture; or (2) </w:t>
      </w:r>
      <w:r w:rsidRPr="00A218A7">
        <w:rPr>
          <w:i/>
          <w:iCs/>
        </w:rPr>
        <w:t xml:space="preserve">The Soil and Water Conservation Technical Guide </w:t>
      </w:r>
      <w:r w:rsidRPr="00A218A7">
        <w:t>published and updated by the USDA-NRCS.</w:t>
      </w:r>
    </w:p>
    <w:p w14:paraId="25227DC1" w14:textId="672549FC" w:rsidR="00A218A7" w:rsidRPr="00A218A7" w:rsidRDefault="00A218A7" w:rsidP="00E0482C">
      <w:pPr>
        <w:pStyle w:val="Heading2"/>
      </w:pPr>
      <w:bookmarkStart w:id="23" w:name="_Toc473817503"/>
      <w:r w:rsidRPr="00A218A7">
        <w:t>Site Assessment</w:t>
      </w:r>
      <w:bookmarkEnd w:id="23"/>
    </w:p>
    <w:p w14:paraId="373F230A" w14:textId="73E7E39C" w:rsidR="00A218A7" w:rsidRPr="00A218A7" w:rsidRDefault="00C735CB" w:rsidP="00A218A7">
      <w:pPr>
        <w:pStyle w:val="BodyText"/>
      </w:pPr>
      <w:r>
        <w:t>The</w:t>
      </w:r>
      <w:r w:rsidR="00A218A7" w:rsidRPr="00A218A7">
        <w:t xml:space="preserve"> three general factors</w:t>
      </w:r>
      <w:r>
        <w:t xml:space="preserve"> comprising the site asses</w:t>
      </w:r>
      <w:r>
        <w:t>s</w:t>
      </w:r>
      <w:r>
        <w:t>ment are desc</w:t>
      </w:r>
      <w:r w:rsidR="00192BE8">
        <w:t>ribed in detail below.</w:t>
      </w:r>
    </w:p>
    <w:p w14:paraId="0C300CE1" w14:textId="03155A57" w:rsidR="00A218A7" w:rsidRPr="00A218A7" w:rsidRDefault="00860EA1" w:rsidP="00860EA1">
      <w:pPr>
        <w:pStyle w:val="BodyText"/>
      </w:pPr>
      <w:r>
        <w:rPr>
          <w:i/>
          <w:iCs/>
        </w:rPr>
        <w:t>Development Potential</w:t>
      </w:r>
      <w:r w:rsidR="00A218A7" w:rsidRPr="00A218A7">
        <w:rPr>
          <w:iCs/>
        </w:rPr>
        <w:t>:</w:t>
      </w:r>
      <w:r w:rsidR="00A218A7" w:rsidRPr="00A218A7">
        <w:t xml:space="preserve"> factors that identify the extent to which development pressures are likely to cause co</w:t>
      </w:r>
      <w:r w:rsidR="00A218A7" w:rsidRPr="00A218A7">
        <w:t>n</w:t>
      </w:r>
      <w:r w:rsidR="00A218A7" w:rsidRPr="00A218A7">
        <w:t>version of farmland to non-agricultural uses. County boards</w:t>
      </w:r>
      <w:r w:rsidR="0051396D">
        <w:t xml:space="preserve"> must use the three factors specified below</w:t>
      </w:r>
      <w:r w:rsidR="00A218A7" w:rsidRPr="00A218A7">
        <w:t xml:space="preserve"> and may use as many as seven additional factors</w:t>
      </w:r>
      <w:r w:rsidR="0051396D">
        <w:t>.</w:t>
      </w:r>
    </w:p>
    <w:p w14:paraId="2A6AC9D7" w14:textId="2A2BCEF1" w:rsidR="00A218A7" w:rsidRPr="00A218A7" w:rsidRDefault="00A218A7" w:rsidP="008B1B7B">
      <w:pPr>
        <w:pStyle w:val="BodyBullet"/>
      </w:pPr>
      <w:r w:rsidRPr="00A218A7">
        <w:t>Availability of sewer/water services and/or pro</w:t>
      </w:r>
      <w:r w:rsidRPr="00A218A7">
        <w:t>x</w:t>
      </w:r>
      <w:r w:rsidRPr="00A218A7">
        <w:t>imity to sewer/water infrastructure</w:t>
      </w:r>
      <w:r w:rsidR="00987B78">
        <w:t>.</w:t>
      </w:r>
    </w:p>
    <w:p w14:paraId="5DCDF620" w14:textId="603F9109" w:rsidR="00A218A7" w:rsidRPr="00A218A7" w:rsidRDefault="00A218A7" w:rsidP="008B1B7B">
      <w:pPr>
        <w:pStyle w:val="BodyBullet"/>
      </w:pPr>
      <w:r w:rsidRPr="00A218A7">
        <w:t>Access of property to public roads and road frontage of property</w:t>
      </w:r>
      <w:r w:rsidR="00987B78">
        <w:t>.</w:t>
      </w:r>
    </w:p>
    <w:p w14:paraId="41680C3B" w14:textId="395AB9C6" w:rsidR="00A218A7" w:rsidRPr="00A218A7" w:rsidRDefault="00A218A7" w:rsidP="008B1B7B">
      <w:pPr>
        <w:pStyle w:val="BodyBullet"/>
      </w:pPr>
      <w:r w:rsidRPr="00A218A7">
        <w:t>Impact of nonagricultural use on other farming operations in the area</w:t>
      </w:r>
      <w:r w:rsidR="00987B78">
        <w:t>.</w:t>
      </w:r>
    </w:p>
    <w:p w14:paraId="4FAA0EC5" w14:textId="40388636" w:rsidR="00A218A7" w:rsidRPr="00A218A7" w:rsidRDefault="00A218A7" w:rsidP="00860EA1">
      <w:pPr>
        <w:pStyle w:val="BodyText"/>
      </w:pPr>
      <w:r w:rsidRPr="00A218A7">
        <w:rPr>
          <w:i/>
          <w:iCs/>
        </w:rPr>
        <w:t>Farmland Potential</w:t>
      </w:r>
      <w:r w:rsidRPr="00A218A7">
        <w:rPr>
          <w:iCs/>
        </w:rPr>
        <w:t>:</w:t>
      </w:r>
      <w:r w:rsidRPr="00A218A7">
        <w:rPr>
          <w:i/>
          <w:iCs/>
        </w:rPr>
        <w:t xml:space="preserve"> </w:t>
      </w:r>
      <w:r w:rsidRPr="00A218A7">
        <w:t xml:space="preserve">factors that measure the potential agricultural productivity and farmland stewardship practiced on a property. County boards </w:t>
      </w:r>
      <w:r w:rsidR="0051396D">
        <w:t xml:space="preserve">must use the four factors specified below and </w:t>
      </w:r>
      <w:r w:rsidRPr="00A218A7">
        <w:t>may use as m</w:t>
      </w:r>
      <w:r w:rsidR="0051396D">
        <w:t>any as six additional factors.</w:t>
      </w:r>
    </w:p>
    <w:p w14:paraId="4A058584" w14:textId="43EBE742" w:rsidR="00A218A7" w:rsidRPr="00A218A7" w:rsidRDefault="00A218A7" w:rsidP="000F1E37">
      <w:pPr>
        <w:pStyle w:val="BodyBullet"/>
      </w:pPr>
      <w:r w:rsidRPr="00A218A7">
        <w:lastRenderedPageBreak/>
        <w:t>Percentage of harvested cropland, pasture, and grazing land on a specific tract of land</w:t>
      </w:r>
      <w:r w:rsidR="00987B78">
        <w:t>.</w:t>
      </w:r>
    </w:p>
    <w:p w14:paraId="50DFECA6" w14:textId="51480378" w:rsidR="00A218A7" w:rsidRPr="00A218A7" w:rsidRDefault="00A218A7" w:rsidP="000F1E37">
      <w:pPr>
        <w:pStyle w:val="BodyBullet"/>
      </w:pPr>
      <w:r w:rsidRPr="00A218A7">
        <w:t>Stewardship of the land, including the use of co</w:t>
      </w:r>
      <w:r w:rsidRPr="00A218A7">
        <w:t>n</w:t>
      </w:r>
      <w:r w:rsidRPr="00A218A7">
        <w:t>servation practices and</w:t>
      </w:r>
      <w:r w:rsidR="00987B78">
        <w:t xml:space="preserve"> best land management practices.</w:t>
      </w:r>
    </w:p>
    <w:p w14:paraId="39867206" w14:textId="65BFD1FD" w:rsidR="00A218A7" w:rsidRPr="00A218A7" w:rsidRDefault="00A218A7" w:rsidP="000F1E37">
      <w:pPr>
        <w:pStyle w:val="BodyBullet"/>
      </w:pPr>
      <w:r w:rsidRPr="00A218A7">
        <w:t>Size of property</w:t>
      </w:r>
      <w:r w:rsidR="00987B78">
        <w:t>.</w:t>
      </w:r>
    </w:p>
    <w:p w14:paraId="75D12239" w14:textId="2500D284" w:rsidR="00A218A7" w:rsidRPr="00A218A7" w:rsidRDefault="00A218A7" w:rsidP="000F1E37">
      <w:pPr>
        <w:pStyle w:val="BodyBullet"/>
      </w:pPr>
      <w:r w:rsidRPr="00A218A7">
        <w:t>Designation of a property by local, state, or fede</w:t>
      </w:r>
      <w:r w:rsidRPr="00A218A7">
        <w:t>r</w:t>
      </w:r>
      <w:r w:rsidRPr="00A218A7">
        <w:t>al authorities as an historically or culturally-significant location, scenic area, or open space</w:t>
      </w:r>
      <w:r w:rsidR="000D54E2">
        <w:t>.</w:t>
      </w:r>
    </w:p>
    <w:p w14:paraId="731AE0EF" w14:textId="3B1D6E3C" w:rsidR="00A218A7" w:rsidRPr="00A218A7" w:rsidRDefault="00860EA1" w:rsidP="00860EA1">
      <w:pPr>
        <w:pStyle w:val="BodyText"/>
      </w:pPr>
      <w:r>
        <w:rPr>
          <w:i/>
          <w:iCs/>
        </w:rPr>
        <w:t>Clustering Potential</w:t>
      </w:r>
      <w:r w:rsidR="00A218A7" w:rsidRPr="00A218A7">
        <w:rPr>
          <w:i/>
          <w:iCs/>
        </w:rPr>
        <w:t xml:space="preserve">: </w:t>
      </w:r>
      <w:r w:rsidR="00A218A7" w:rsidRPr="00A218A7">
        <w:t>factors that emphasize the i</w:t>
      </w:r>
      <w:r w:rsidR="00A218A7" w:rsidRPr="00A218A7">
        <w:t>m</w:t>
      </w:r>
      <w:r w:rsidR="00A218A7" w:rsidRPr="00A218A7">
        <w:t>portance of preserving blocks of farmland to support normal farming operations and help to shield the agr</w:t>
      </w:r>
      <w:r w:rsidR="00A218A7" w:rsidRPr="00A218A7">
        <w:t>i</w:t>
      </w:r>
      <w:r w:rsidR="00A218A7" w:rsidRPr="00A218A7">
        <w:t xml:space="preserve">cultural community from conflicts with incompatible land uses. County boards </w:t>
      </w:r>
      <w:r w:rsidR="0051396D">
        <w:t xml:space="preserve">must use the three factors specified below and may </w:t>
      </w:r>
      <w:r w:rsidR="00A218A7" w:rsidRPr="00A218A7">
        <w:t>use as ma</w:t>
      </w:r>
      <w:r w:rsidR="0051396D">
        <w:t>ny as seven add</w:t>
      </w:r>
      <w:r w:rsidR="0051396D">
        <w:t>i</w:t>
      </w:r>
      <w:r w:rsidR="0051396D">
        <w:t>tional factors.</w:t>
      </w:r>
    </w:p>
    <w:p w14:paraId="69343751" w14:textId="32472F48" w:rsidR="00A218A7" w:rsidRPr="00A218A7" w:rsidRDefault="00A218A7" w:rsidP="000F1E37">
      <w:pPr>
        <w:pStyle w:val="BodyBullet"/>
      </w:pPr>
      <w:r w:rsidRPr="00A218A7">
        <w:t>Consistence with county planning office’s desi</w:t>
      </w:r>
      <w:r w:rsidRPr="00A218A7">
        <w:t>g</w:t>
      </w:r>
      <w:r w:rsidRPr="00A218A7">
        <w:t>nation of important agricultural areas</w:t>
      </w:r>
      <w:r w:rsidR="00987B78">
        <w:t>.</w:t>
      </w:r>
    </w:p>
    <w:p w14:paraId="133B206E" w14:textId="77777777" w:rsidR="00A218A7" w:rsidRPr="00A218A7" w:rsidRDefault="00A218A7" w:rsidP="000F1E37">
      <w:pPr>
        <w:pStyle w:val="BodyBullet"/>
      </w:pPr>
      <w:r w:rsidRPr="00A218A7">
        <w:t>Proximity to land already under agricultural co</w:t>
      </w:r>
      <w:r w:rsidRPr="00A218A7">
        <w:t>n</w:t>
      </w:r>
      <w:r w:rsidRPr="00A218A7">
        <w:t xml:space="preserve">servation easement, regardless of who holds the easement(s).  </w:t>
      </w:r>
    </w:p>
    <w:p w14:paraId="6A9563A8" w14:textId="6745016E" w:rsidR="00A218A7" w:rsidRPr="00A218A7" w:rsidRDefault="00A218A7" w:rsidP="000F1E37">
      <w:pPr>
        <w:pStyle w:val="BodyBullet"/>
      </w:pPr>
      <w:r w:rsidRPr="00A218A7">
        <w:t xml:space="preserve">Percentage of a tract’s boundary that adjoins land in an agricultural security area. </w:t>
      </w:r>
    </w:p>
    <w:p w14:paraId="3FD79B8E" w14:textId="77777777" w:rsidR="00425A5C" w:rsidRDefault="00425A5C" w:rsidP="00425A5C">
      <w:pPr>
        <w:pStyle w:val="Heading1"/>
      </w:pPr>
      <w:bookmarkStart w:id="24" w:name="_Toc473817504"/>
      <w:r>
        <w:t>Easement Appraisal and Purchase</w:t>
      </w:r>
      <w:bookmarkEnd w:id="24"/>
    </w:p>
    <w:p w14:paraId="1199D1D1" w14:textId="008DC0EF" w:rsidR="00A218A7" w:rsidRPr="00A218A7" w:rsidRDefault="00A218A7" w:rsidP="00A218A7">
      <w:pPr>
        <w:pStyle w:val="BodyText"/>
      </w:pPr>
      <w:r w:rsidRPr="00A218A7">
        <w:t xml:space="preserve">The county </w:t>
      </w:r>
      <w:r w:rsidR="00FC7861">
        <w:t xml:space="preserve">board </w:t>
      </w:r>
      <w:r w:rsidRPr="00A218A7">
        <w:t xml:space="preserve">appraises the value of proposed conservation easements </w:t>
      </w:r>
      <w:r w:rsidR="00FC7861">
        <w:t>o</w:t>
      </w:r>
      <w:r w:rsidR="00E56C0F">
        <w:t>n farms with the highest ranked</w:t>
      </w:r>
      <w:r w:rsidR="00FC7861">
        <w:t xml:space="preserve"> applications</w:t>
      </w:r>
      <w:r w:rsidRPr="00A218A7">
        <w:t xml:space="preserve">. </w:t>
      </w:r>
    </w:p>
    <w:p w14:paraId="41EA870C" w14:textId="77777777" w:rsidR="00FC7861" w:rsidRDefault="00A218A7" w:rsidP="00A218A7">
      <w:pPr>
        <w:pStyle w:val="BodyText"/>
      </w:pPr>
      <w:r w:rsidRPr="00A218A7">
        <w:t xml:space="preserve">The </w:t>
      </w:r>
      <w:r w:rsidR="00FC7861">
        <w:t>appraisal must be based</w:t>
      </w:r>
      <w:r w:rsidRPr="00A218A7">
        <w:t xml:space="preserve"> on an analysis of comp</w:t>
      </w:r>
      <w:r w:rsidRPr="00A218A7">
        <w:t>a</w:t>
      </w:r>
      <w:r w:rsidRPr="00A218A7">
        <w:t xml:space="preserve">rable sales and be in accordance with the most recent edition of the </w:t>
      </w:r>
      <w:hyperlink r:id="rId14" w:history="1">
        <w:r w:rsidRPr="00A218A7">
          <w:rPr>
            <w:rStyle w:val="Hyperlink"/>
          </w:rPr>
          <w:t>Uniform Standards of Professional A</w:t>
        </w:r>
        <w:r w:rsidRPr="00A218A7">
          <w:rPr>
            <w:rStyle w:val="Hyperlink"/>
          </w:rPr>
          <w:t>p</w:t>
        </w:r>
        <w:r w:rsidRPr="00A218A7">
          <w:rPr>
            <w:rStyle w:val="Hyperlink"/>
          </w:rPr>
          <w:t>praisal Practice</w:t>
        </w:r>
      </w:hyperlink>
      <w:r w:rsidRPr="00A218A7">
        <w:t xml:space="preserve"> that estimate both the market value and the farmland value</w:t>
      </w:r>
      <w:r w:rsidR="00FC7861">
        <w:t xml:space="preserve"> of the land</w:t>
      </w:r>
      <w:r w:rsidRPr="00A218A7">
        <w:t>. County boards may choose to refer to one or more appraisal reports conducted by a state-certified general real estate a</w:t>
      </w:r>
      <w:r w:rsidRPr="00A218A7">
        <w:t>p</w:t>
      </w:r>
      <w:r w:rsidRPr="00A218A7">
        <w:t xml:space="preserve">praiser. </w:t>
      </w:r>
    </w:p>
    <w:p w14:paraId="5512E80F" w14:textId="38AC47CD" w:rsidR="00A218A7" w:rsidRPr="00A218A7" w:rsidRDefault="00A218A7" w:rsidP="00A218A7">
      <w:pPr>
        <w:pStyle w:val="BodyText"/>
      </w:pPr>
      <w:r w:rsidRPr="00A218A7">
        <w:t xml:space="preserve">The </w:t>
      </w:r>
      <w:r w:rsidRPr="00FC7861">
        <w:rPr>
          <w:i/>
        </w:rPr>
        <w:t>value</w:t>
      </w:r>
      <w:r w:rsidRPr="00A218A7">
        <w:t xml:space="preserve"> of an easement is the difference between the market value and the appraised farmland value. The </w:t>
      </w:r>
      <w:r w:rsidRPr="00FC7861">
        <w:rPr>
          <w:i/>
        </w:rPr>
        <w:t>purchase price offered</w:t>
      </w:r>
      <w:r w:rsidRPr="00A218A7">
        <w:t xml:space="preserve"> for the purchase of an easement may not exceed, but may be less than, the value of the easement. </w:t>
      </w:r>
    </w:p>
    <w:p w14:paraId="515D7CF0" w14:textId="77777777" w:rsidR="00A218A7" w:rsidRPr="00A218A7" w:rsidRDefault="00A218A7" w:rsidP="00A218A7">
      <w:pPr>
        <w:pStyle w:val="Heading1"/>
        <w:rPr>
          <w:rFonts w:eastAsia="Calibri"/>
        </w:rPr>
      </w:pPr>
      <w:bookmarkStart w:id="25" w:name="_Toc473817505"/>
      <w:r w:rsidRPr="00A218A7">
        <w:rPr>
          <w:rFonts w:eastAsia="Calibri"/>
        </w:rPr>
        <w:lastRenderedPageBreak/>
        <w:t>County Funding</w:t>
      </w:r>
      <w:bookmarkEnd w:id="25"/>
    </w:p>
    <w:p w14:paraId="24AE33A2" w14:textId="7A0BE16A" w:rsidR="00A218A7" w:rsidRPr="00A218A7" w:rsidRDefault="00A218A7" w:rsidP="00A218A7">
      <w:pPr>
        <w:pStyle w:val="BodyText"/>
      </w:pPr>
      <w:r w:rsidRPr="00A218A7">
        <w:t>A county may fund the purchase of agricultural eas</w:t>
      </w:r>
      <w:r w:rsidRPr="00A218A7">
        <w:t>e</w:t>
      </w:r>
      <w:r w:rsidRPr="00A218A7">
        <w:t xml:space="preserve">ments in various ways. The county may use county general funds, proceeds from a bond or other form of indebtedness, funding from municipalities and private sources. Additionally, the county board may seek state funding through the </w:t>
      </w:r>
      <w:hyperlink r:id="rId15" w:history="1">
        <w:r w:rsidRPr="00A218A7">
          <w:rPr>
            <w:rStyle w:val="Hyperlink"/>
          </w:rPr>
          <w:t>Agricultural Conservation Easement Purchase Fund</w:t>
        </w:r>
      </w:hyperlink>
      <w:r w:rsidRPr="00A218A7">
        <w:t xml:space="preserve"> and/or federal reimburs</w:t>
      </w:r>
      <w:r w:rsidRPr="00A218A7">
        <w:t>e</w:t>
      </w:r>
      <w:r w:rsidRPr="00A218A7">
        <w:t xml:space="preserve">ment from the USDA </w:t>
      </w:r>
      <w:hyperlink r:id="rId16" w:history="1">
        <w:r w:rsidR="00802370" w:rsidRPr="00802370">
          <w:rPr>
            <w:rStyle w:val="Hyperlink"/>
          </w:rPr>
          <w:t>Agricultural Conservation Easement Program</w:t>
        </w:r>
      </w:hyperlink>
      <w:r w:rsidRPr="00A218A7">
        <w:t>. Counties may also use the 6% i</w:t>
      </w:r>
      <w:r w:rsidRPr="00A218A7">
        <w:t>n</w:t>
      </w:r>
      <w:r w:rsidRPr="00A218A7">
        <w:t xml:space="preserve">terest repaid by landowners on rollback taxes of properties removed from the </w:t>
      </w:r>
      <w:hyperlink r:id="rId17" w:history="1">
        <w:r w:rsidRPr="00E31950">
          <w:rPr>
            <w:rStyle w:val="Hyperlink"/>
          </w:rPr>
          <w:t>Clean &amp; Green</w:t>
        </w:r>
      </w:hyperlink>
      <w:r w:rsidRPr="00A218A7">
        <w:t xml:space="preserve"> </w:t>
      </w:r>
      <w:r w:rsidR="00425A5C">
        <w:t>p</w:t>
      </w:r>
      <w:r w:rsidRPr="00A218A7">
        <w:t xml:space="preserve">rogram to fund their easement purchase programs.    </w:t>
      </w:r>
    </w:p>
    <w:p w14:paraId="49FF8CDE" w14:textId="77777777" w:rsidR="00A218A7" w:rsidRPr="00A218A7" w:rsidRDefault="00A218A7" w:rsidP="00A218A7">
      <w:pPr>
        <w:pStyle w:val="BodyText"/>
      </w:pPr>
      <w:r w:rsidRPr="00A218A7">
        <w:t>Demand for the program has consistently exceeded funding, resulting in long county backlog lists of farms that have been selected for easement purchases but have not yet been preserved. Some county pla</w:t>
      </w:r>
      <w:r w:rsidRPr="00A218A7">
        <w:t>n</w:t>
      </w:r>
      <w:r w:rsidRPr="00A218A7">
        <w:t>ning commissions and conservation districts also experience staffing shortages, making it more difficult to administer the program effectively.</w:t>
      </w:r>
    </w:p>
    <w:p w14:paraId="6BCBF145" w14:textId="7F34353D" w:rsidR="00A218A7" w:rsidRPr="00A218A7" w:rsidRDefault="00FC7861" w:rsidP="00A218A7">
      <w:pPr>
        <w:pStyle w:val="Heading1"/>
        <w:rPr>
          <w:rFonts w:eastAsia="Calibri"/>
        </w:rPr>
      </w:pPr>
      <w:bookmarkStart w:id="26" w:name="_Toc473817506"/>
      <w:r>
        <w:rPr>
          <w:rFonts w:eastAsia="Calibri"/>
        </w:rPr>
        <w:t>What is Being Purchased?</w:t>
      </w:r>
      <w:bookmarkEnd w:id="26"/>
    </w:p>
    <w:p w14:paraId="6958A18A" w14:textId="3807B158" w:rsidR="00A218A7" w:rsidRPr="00A218A7" w:rsidRDefault="00A218A7" w:rsidP="00A218A7">
      <w:pPr>
        <w:pStyle w:val="BodyText"/>
      </w:pPr>
      <w:r w:rsidRPr="00A218A7">
        <w:t xml:space="preserve">People often </w:t>
      </w:r>
      <w:r w:rsidR="00FC7861">
        <w:t>refer to the county boards “purchasing development rights” instead of “purchasing</w:t>
      </w:r>
      <w:r w:rsidRPr="00A218A7">
        <w:t xml:space="preserve"> conserv</w:t>
      </w:r>
      <w:r w:rsidRPr="00A218A7">
        <w:t>a</w:t>
      </w:r>
      <w:r w:rsidRPr="00A218A7">
        <w:t>tion easement</w:t>
      </w:r>
      <w:r w:rsidR="00FC7861">
        <w:t>s</w:t>
      </w:r>
      <w:r w:rsidRPr="00A218A7">
        <w:t xml:space="preserve">.” </w:t>
      </w:r>
      <w:r w:rsidR="00FC7861">
        <w:t xml:space="preserve">The latter term is </w:t>
      </w:r>
      <w:r w:rsidR="007E35EA">
        <w:t>the far</w:t>
      </w:r>
      <w:r w:rsidR="00FC7861">
        <w:t xml:space="preserve"> more accurate description</w:t>
      </w:r>
      <w:r w:rsidR="001A3FE8">
        <w:t xml:space="preserve">. </w:t>
      </w:r>
      <w:r w:rsidR="00B82B45">
        <w:t>The counties</w:t>
      </w:r>
      <w:r w:rsidR="001A3FE8">
        <w:t xml:space="preserve"> do not actually o</w:t>
      </w:r>
      <w:r w:rsidR="001A3FE8">
        <w:t>b</w:t>
      </w:r>
      <w:r w:rsidR="001A3FE8">
        <w:t>tain development rights; rather, they obtain a right to block development</w:t>
      </w:r>
      <w:r w:rsidR="00FC7861">
        <w:t xml:space="preserve">. </w:t>
      </w:r>
      <w:r w:rsidR="00662B07">
        <w:t>S</w:t>
      </w:r>
      <w:r w:rsidR="00FC7861">
        <w:t>pecifically</w:t>
      </w:r>
      <w:r w:rsidR="00662B07">
        <w:t>, the following ha</w:t>
      </w:r>
      <w:r w:rsidR="00662B07">
        <w:t>p</w:t>
      </w:r>
      <w:r w:rsidR="00662B07">
        <w:t>pens in the purchase of an agricultural conservation easement:</w:t>
      </w:r>
      <w:r w:rsidRPr="00A218A7">
        <w:t xml:space="preserve"> </w:t>
      </w:r>
      <w:r w:rsidR="00662B07">
        <w:t>T</w:t>
      </w:r>
      <w:r w:rsidRPr="00A218A7">
        <w:t>he landowner places a restrictive covenant on their land that restricts the land’s use to agricultu</w:t>
      </w:r>
      <w:r w:rsidRPr="00A218A7">
        <w:t>r</w:t>
      </w:r>
      <w:r w:rsidRPr="00A218A7">
        <w:t>al production and certain other activities; this is accomplished by recording a “Deed of Agricultural Conservation Easement.” In the deed, the landowner grants the relevant government units the right to e</w:t>
      </w:r>
      <w:r w:rsidRPr="00A218A7">
        <w:t>n</w:t>
      </w:r>
      <w:r w:rsidRPr="00A218A7">
        <w:t>force the restrictive covenant. For this, the government pays the landowner.</w:t>
      </w:r>
    </w:p>
    <w:p w14:paraId="1F567A07" w14:textId="77777777" w:rsidR="00A218A7" w:rsidRPr="00A218A7" w:rsidRDefault="00A218A7" w:rsidP="00A218A7">
      <w:pPr>
        <w:pStyle w:val="Heading1"/>
        <w:rPr>
          <w:rFonts w:eastAsia="Calibri"/>
        </w:rPr>
      </w:pPr>
      <w:bookmarkStart w:id="27" w:name="_Toc473817507"/>
      <w:r w:rsidRPr="00A218A7">
        <w:rPr>
          <w:rFonts w:eastAsia="Calibri"/>
        </w:rPr>
        <w:t>State Administration</w:t>
      </w:r>
      <w:bookmarkEnd w:id="27"/>
    </w:p>
    <w:p w14:paraId="74054A28" w14:textId="3AB175D1" w:rsidR="00A218A7" w:rsidRPr="00A218A7" w:rsidRDefault="00A218A7" w:rsidP="00A218A7">
      <w:pPr>
        <w:pStyle w:val="BodyText"/>
      </w:pPr>
      <w:r w:rsidRPr="00A218A7">
        <w:t xml:space="preserve">The </w:t>
      </w:r>
      <w:hyperlink r:id="rId18" w:history="1">
        <w:r w:rsidRPr="00A218A7">
          <w:rPr>
            <w:rStyle w:val="Hyperlink"/>
          </w:rPr>
          <w:t>Pennsylvania Department of Agriculture Bureau of Farmland Preservation</w:t>
        </w:r>
      </w:hyperlink>
      <w:r w:rsidRPr="00A218A7">
        <w:t xml:space="preserve"> manages ACEPP and ove</w:t>
      </w:r>
      <w:r w:rsidRPr="00A218A7">
        <w:t>r</w:t>
      </w:r>
      <w:r w:rsidRPr="00A218A7">
        <w:t xml:space="preserve">sees county board activity.  </w:t>
      </w:r>
    </w:p>
    <w:p w14:paraId="09FAD127" w14:textId="77777777" w:rsidR="00A218A7" w:rsidRPr="00A218A7" w:rsidRDefault="00A218A7" w:rsidP="00A218A7">
      <w:pPr>
        <w:pStyle w:val="BodyText"/>
      </w:pPr>
      <w:r w:rsidRPr="00A218A7">
        <w:lastRenderedPageBreak/>
        <w:t>The Pennsylvania Agricultural Land Preservation Board reviews, approves, or denies recommendations of county boards to purchase agricultural conserv</w:t>
      </w:r>
      <w:r w:rsidRPr="00A218A7">
        <w:t>a</w:t>
      </w:r>
      <w:r w:rsidRPr="00A218A7">
        <w:t>tion easements, and executes the purchase of agricultural conservation agreements on behalf of the state. The board consists of five members appointed by the Governor and nine members appointed by the House and Senate leadership. In addition, the board has eight ex officio members: the Secretary of Agricu</w:t>
      </w:r>
      <w:r w:rsidRPr="00A218A7">
        <w:t>l</w:t>
      </w:r>
      <w:r w:rsidRPr="00A218A7">
        <w:t>ture, who serves as the board chairman; the Secretary of Community Affairs; the Secretary of Environmental Resources; the chairperson and the minority chairpe</w:t>
      </w:r>
      <w:r w:rsidRPr="00A218A7">
        <w:t>r</w:t>
      </w:r>
      <w:r w:rsidRPr="00A218A7">
        <w:t>son of the House Agriculture and Rural Affairs Committee; the chairperson and the Minority chai</w:t>
      </w:r>
      <w:r w:rsidRPr="00A218A7">
        <w:t>r</w:t>
      </w:r>
      <w:r w:rsidRPr="00A218A7">
        <w:t>person of the Senate Agriculture and Rural Affairs Committee; and the dean of the College of Agriculture of The Pennsylvania State University.</w:t>
      </w:r>
    </w:p>
    <w:p w14:paraId="763678F1" w14:textId="77777777" w:rsidR="00A218A7" w:rsidRPr="00A218A7" w:rsidRDefault="00A218A7" w:rsidP="00A218A7">
      <w:pPr>
        <w:pStyle w:val="Heading1"/>
        <w:rPr>
          <w:rFonts w:eastAsia="Calibri"/>
        </w:rPr>
      </w:pPr>
      <w:bookmarkStart w:id="28" w:name="_Toc473817508"/>
      <w:r w:rsidRPr="00A218A7">
        <w:rPr>
          <w:rFonts w:eastAsia="Calibri"/>
        </w:rPr>
        <w:t>Enabling Act and Legislative History</w:t>
      </w:r>
      <w:bookmarkEnd w:id="28"/>
    </w:p>
    <w:p w14:paraId="52DFBF23" w14:textId="5BB6B521" w:rsidR="00A218A7" w:rsidRPr="00A218A7" w:rsidRDefault="00A218A7" w:rsidP="00A218A7">
      <w:pPr>
        <w:pStyle w:val="BodyText"/>
      </w:pPr>
      <w:r w:rsidRPr="00A218A7">
        <w:t xml:space="preserve">The program was created through </w:t>
      </w:r>
      <w:hyperlink r:id="rId19" w:history="1">
        <w:r w:rsidRPr="00A218A7">
          <w:rPr>
            <w:rStyle w:val="Hyperlink"/>
          </w:rPr>
          <w:t>Act 149 of 1988</w:t>
        </w:r>
      </w:hyperlink>
      <w:r w:rsidRPr="00A218A7">
        <w:t>, which amended Act 43 of 1981. Act 43, last updated in 2013, enables the state and participating counties to protect farmland by purchasing agricultural conserv</w:t>
      </w:r>
      <w:r w:rsidRPr="00A218A7">
        <w:t>a</w:t>
      </w:r>
      <w:r w:rsidRPr="00A218A7">
        <w:t xml:space="preserve">tion easements on eligible properties.  </w:t>
      </w:r>
    </w:p>
    <w:p w14:paraId="638761A9" w14:textId="7D4348CE" w:rsidR="00A218A7" w:rsidRPr="00A218A7" w:rsidRDefault="00A218A7" w:rsidP="00A218A7">
      <w:pPr>
        <w:pStyle w:val="BodyText"/>
      </w:pPr>
      <w:r w:rsidRPr="00A218A7">
        <w:t xml:space="preserve">In the initial iteration of </w:t>
      </w:r>
      <w:r w:rsidR="001F3258">
        <w:t>the law</w:t>
      </w:r>
      <w:r w:rsidRPr="00A218A7">
        <w:t>, there was a provision that allowed ACEPP easements to be extinguished a</w:t>
      </w:r>
      <w:r w:rsidRPr="00A218A7">
        <w:t>f</w:t>
      </w:r>
      <w:r w:rsidRPr="00A218A7">
        <w:t>ter 25 years under certain</w:t>
      </w:r>
      <w:r w:rsidR="00C51174">
        <w:t>, very particular,</w:t>
      </w:r>
      <w:r w:rsidRPr="00A218A7">
        <w:t xml:space="preserve"> conditions. </w:t>
      </w:r>
      <w:hyperlink r:id="rId20" w:history="1">
        <w:r w:rsidRPr="001F3258">
          <w:rPr>
            <w:rStyle w:val="Hyperlink"/>
          </w:rPr>
          <w:t>Act 44 of 2011</w:t>
        </w:r>
      </w:hyperlink>
      <w:r w:rsidRPr="00A218A7">
        <w:t xml:space="preserve"> </w:t>
      </w:r>
      <w:r w:rsidR="001F3258">
        <w:t>repealed</w:t>
      </w:r>
      <w:r w:rsidRPr="00A218A7">
        <w:t xml:space="preserve"> the provision</w:t>
      </w:r>
      <w:r w:rsidR="00C51174">
        <w:t>, the repeal a</w:t>
      </w:r>
      <w:r w:rsidR="00C51174">
        <w:t>p</w:t>
      </w:r>
      <w:r w:rsidR="00C51174">
        <w:t>plying to all ACEPP easements established after the repeal.</w:t>
      </w:r>
    </w:p>
    <w:p w14:paraId="5BBA7DDD" w14:textId="1B420615" w:rsidR="00A218A7" w:rsidRPr="00A218A7" w:rsidRDefault="00A218A7" w:rsidP="00A218A7">
      <w:pPr>
        <w:pStyle w:val="Heading1"/>
        <w:rPr>
          <w:rFonts w:eastAsia="Calibri"/>
        </w:rPr>
      </w:pPr>
      <w:bookmarkStart w:id="29" w:name="_Toc473817509"/>
      <w:r w:rsidRPr="00A218A7">
        <w:rPr>
          <w:rFonts w:eastAsia="Calibri"/>
        </w:rPr>
        <w:t xml:space="preserve">2008 Program Audit by </w:t>
      </w:r>
      <w:r w:rsidR="00192FDD">
        <w:rPr>
          <w:rFonts w:eastAsia="Calibri"/>
        </w:rPr>
        <w:t>LBFC</w:t>
      </w:r>
      <w:bookmarkEnd w:id="29"/>
    </w:p>
    <w:p w14:paraId="4674A156" w14:textId="72A06902" w:rsidR="00A218A7" w:rsidRPr="00A218A7" w:rsidRDefault="00A218A7" w:rsidP="00A218A7">
      <w:pPr>
        <w:pStyle w:val="BodyText"/>
      </w:pPr>
      <w:r w:rsidRPr="00A218A7">
        <w:t xml:space="preserve">In 2008 the Legislative Budget and Finance Committee conducted a </w:t>
      </w:r>
      <w:hyperlink r:id="rId21" w:history="1">
        <w:r w:rsidRPr="00A218A7">
          <w:rPr>
            <w:rStyle w:val="Hyperlink"/>
          </w:rPr>
          <w:t>program audit</w:t>
        </w:r>
      </w:hyperlink>
      <w:r w:rsidRPr="00A218A7">
        <w:t xml:space="preserve"> of ACEPP per Senate Re</w:t>
      </w:r>
      <w:r w:rsidRPr="00A218A7">
        <w:t>s</w:t>
      </w:r>
      <w:r w:rsidRPr="00A218A7">
        <w:t xml:space="preserve">olution 2007-195. The audit report’s 67 pages (and nine-page summary) covered a wide array of issues and concluded that: </w:t>
      </w:r>
    </w:p>
    <w:p w14:paraId="525F985C" w14:textId="104ED879" w:rsidR="00A218A7" w:rsidRPr="00A218A7" w:rsidRDefault="00A218A7" w:rsidP="007D20AE">
      <w:pPr>
        <w:pStyle w:val="BodyTextIndent"/>
      </w:pPr>
      <w:r w:rsidRPr="00A218A7">
        <w:t>Pennsylvania has one of the most successful, if</w:t>
      </w:r>
      <w:r w:rsidR="00987B78">
        <w:t xml:space="preserve"> not the most successful, farm</w:t>
      </w:r>
      <w:r w:rsidRPr="00A218A7">
        <w:t>land preservation programs in the country. The ACEPP program, with its emphasis on quantitative rankings and local land use decision-making, is widely viewed as a model for selecting and preserving agricu</w:t>
      </w:r>
      <w:r w:rsidRPr="00A218A7">
        <w:t>l</w:t>
      </w:r>
      <w:r w:rsidRPr="00A218A7">
        <w:t>turally important farms.</w:t>
      </w:r>
    </w:p>
    <w:p w14:paraId="0FC0D093" w14:textId="42FEB51F" w:rsidR="00A218A7" w:rsidRPr="00A218A7" w:rsidRDefault="00A218A7" w:rsidP="00A218A7">
      <w:pPr>
        <w:pStyle w:val="BodyText"/>
      </w:pPr>
      <w:r w:rsidRPr="00A218A7">
        <w:lastRenderedPageBreak/>
        <w:t>The audit report noted concerns about the program related to Internal Revenue Code requirements for federal charitable tax deductions for farmers who sell their easements for less than fair market value:</w:t>
      </w:r>
    </w:p>
    <w:p w14:paraId="730E622E" w14:textId="2C4F4AED" w:rsidR="00A218A7" w:rsidRPr="00A218A7" w:rsidRDefault="00A218A7" w:rsidP="007D20AE">
      <w:pPr>
        <w:pStyle w:val="BodyTextIndent"/>
      </w:pPr>
      <w:r w:rsidRPr="00A218A7">
        <w:t>The Pennsylvania Land Trust Association (PALTA) has expressed concern about several a</w:t>
      </w:r>
      <w:r w:rsidRPr="00A218A7">
        <w:t>s</w:t>
      </w:r>
      <w:r w:rsidRPr="00A218A7">
        <w:t>pects of the ACEPP program and the applicability of the federal charitable contribution deduction to a bargain sale easement. Specifically, PALTA cites the lack of restrictions on agricultural buildings’ size, quantity, or location as possibly running afoul of the “conservation purposes” test of Inte</w:t>
      </w:r>
      <w:r w:rsidRPr="00A218A7">
        <w:t>r</w:t>
      </w:r>
      <w:r w:rsidRPr="00A218A7">
        <w:t xml:space="preserve">nal Revenue Code §170(h). </w:t>
      </w:r>
    </w:p>
    <w:p w14:paraId="28EA476B" w14:textId="228E7686" w:rsidR="00860EA1" w:rsidRPr="00860EA1" w:rsidRDefault="00860EA1" w:rsidP="00860EA1">
      <w:pPr>
        <w:pStyle w:val="Heading1"/>
      </w:pPr>
      <w:bookmarkStart w:id="30" w:name="_Toc245187501"/>
      <w:bookmarkStart w:id="31" w:name="_Toc4738175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860EA1">
        <w:t>Resources at ConservationTools.org</w:t>
      </w:r>
      <w:bookmarkEnd w:id="30"/>
      <w:bookmarkEnd w:id="31"/>
    </w:p>
    <w:p w14:paraId="16DBA1BD" w14:textId="740F495F" w:rsidR="00FB16EB" w:rsidRDefault="00FB16EB" w:rsidP="00FB16EB">
      <w:pPr>
        <w:keepNext/>
        <w:spacing w:before="200"/>
        <w:outlineLvl w:val="2"/>
        <w:rPr>
          <w:rFonts w:eastAsia="Calibri" w:cs="Gill Sans"/>
          <w:spacing w:val="2"/>
          <w:szCs w:val="22"/>
        </w:rPr>
      </w:pPr>
      <w:r w:rsidRPr="00FB16EB">
        <w:rPr>
          <w:rFonts w:eastAsia="Calibri" w:cs="Gill Sans"/>
          <w:spacing w:val="2"/>
          <w:szCs w:val="22"/>
        </w:rPr>
        <w:t>To find experts and additional information on the topics covered in this guide</w:t>
      </w:r>
      <w:r>
        <w:rPr>
          <w:rFonts w:eastAsia="Calibri" w:cs="Gill Sans"/>
          <w:spacing w:val="2"/>
          <w:szCs w:val="22"/>
        </w:rPr>
        <w:t>, see the right</w:t>
      </w:r>
      <w:r w:rsidR="00C51174">
        <w:rPr>
          <w:rFonts w:eastAsia="Calibri" w:cs="Gill Sans"/>
          <w:spacing w:val="2"/>
          <w:szCs w:val="22"/>
        </w:rPr>
        <w:t>-</w:t>
      </w:r>
      <w:r>
        <w:rPr>
          <w:rFonts w:eastAsia="Calibri" w:cs="Gill Sans"/>
          <w:spacing w:val="2"/>
          <w:szCs w:val="22"/>
        </w:rPr>
        <w:t>hand co</w:t>
      </w:r>
      <w:r>
        <w:rPr>
          <w:rFonts w:eastAsia="Calibri" w:cs="Gill Sans"/>
          <w:spacing w:val="2"/>
          <w:szCs w:val="22"/>
        </w:rPr>
        <w:t>l</w:t>
      </w:r>
      <w:r>
        <w:rPr>
          <w:rFonts w:eastAsia="Calibri" w:cs="Gill Sans"/>
          <w:spacing w:val="2"/>
          <w:szCs w:val="22"/>
        </w:rPr>
        <w:t xml:space="preserve">umn of the online addition at: </w:t>
      </w:r>
      <w:hyperlink r:id="rId22" w:history="1">
        <w:r w:rsidR="00E31950" w:rsidRPr="00B07A47">
          <w:rPr>
            <w:rStyle w:val="Hyperlink"/>
            <w:rFonts w:eastAsia="Calibri" w:cs="Gill Sans"/>
            <w:spacing w:val="2"/>
            <w:szCs w:val="22"/>
          </w:rPr>
          <w:t>http://conservationtools.org/guides/47</w:t>
        </w:r>
      </w:hyperlink>
    </w:p>
    <w:p w14:paraId="7C997577" w14:textId="31C34B21" w:rsidR="00860EA1" w:rsidRPr="00FB16EB" w:rsidRDefault="00860EA1" w:rsidP="00FB16EB">
      <w:pPr>
        <w:keepNext/>
        <w:spacing w:before="200"/>
        <w:outlineLvl w:val="2"/>
        <w:rPr>
          <w:rFonts w:eastAsia="Calibri" w:cs="Gill Sans"/>
          <w:b/>
          <w:spacing w:val="2"/>
          <w:szCs w:val="22"/>
        </w:rPr>
      </w:pPr>
      <w:r w:rsidRPr="00860EA1">
        <w:rPr>
          <w:rFonts w:eastAsia="Calibri" w:cs="Gill Sans"/>
          <w:b/>
          <w:spacing w:val="2"/>
          <w:szCs w:val="22"/>
        </w:rPr>
        <w:t>Related Guides</w:t>
      </w:r>
    </w:p>
    <w:p w14:paraId="263C46A0" w14:textId="58D07016" w:rsidR="00860EA1" w:rsidRPr="00860EA1" w:rsidRDefault="00E3154A" w:rsidP="005E1250">
      <w:pPr>
        <w:pStyle w:val="BodyText"/>
      </w:pPr>
      <w:hyperlink r:id="rId23" w:history="1">
        <w:r w:rsidR="00860EA1" w:rsidRPr="00860EA1">
          <w:rPr>
            <w:color w:val="0000FF"/>
            <w:u w:val="single"/>
          </w:rPr>
          <w:t>Agricultural Security Areas</w:t>
        </w:r>
      </w:hyperlink>
    </w:p>
    <w:p w14:paraId="716E2D48" w14:textId="7FB0190A" w:rsidR="00860EA1" w:rsidRDefault="00E3154A" w:rsidP="005E1250">
      <w:pPr>
        <w:pStyle w:val="BodyText"/>
        <w:rPr>
          <w:bCs/>
          <w:color w:val="0000FF"/>
          <w:u w:val="single"/>
        </w:rPr>
      </w:pPr>
      <w:hyperlink r:id="rId24" w:history="1">
        <w:r w:rsidR="00860EA1" w:rsidRPr="00860EA1">
          <w:rPr>
            <w:bCs/>
            <w:color w:val="0000FF"/>
            <w:u w:val="single"/>
          </w:rPr>
          <w:t>Conservation Easement</w:t>
        </w:r>
      </w:hyperlink>
    </w:p>
    <w:p w14:paraId="39C79E57" w14:textId="13ABB013" w:rsidR="005E1250" w:rsidRPr="005E1250" w:rsidRDefault="00E3154A" w:rsidP="005E1250">
      <w:pPr>
        <w:pStyle w:val="BodyText"/>
      </w:pPr>
      <w:hyperlink r:id="rId25" w:history="1">
        <w:r w:rsidR="00962808" w:rsidRPr="00193F96">
          <w:rPr>
            <w:rStyle w:val="Hyperlink"/>
          </w:rPr>
          <w:t>Farm</w:t>
        </w:r>
        <w:r w:rsidR="005E1250" w:rsidRPr="00193F96">
          <w:rPr>
            <w:rStyle w:val="Hyperlink"/>
          </w:rPr>
          <w:t xml:space="preserve"> Preservation Options for Landowners</w:t>
        </w:r>
      </w:hyperlink>
    </w:p>
    <w:p w14:paraId="78C2115D" w14:textId="74E99514" w:rsidR="00FB16EB" w:rsidRPr="00FB16EB" w:rsidRDefault="00FB16EB" w:rsidP="00FB16EB">
      <w:pPr>
        <w:pStyle w:val="Heading1-noTOC"/>
        <w:rPr>
          <w:sz w:val="34"/>
          <w:szCs w:val="34"/>
        </w:rPr>
      </w:pPr>
      <w:r w:rsidRPr="00FB16EB">
        <w:rPr>
          <w:sz w:val="34"/>
          <w:szCs w:val="34"/>
        </w:rPr>
        <w:t xml:space="preserve">Submit Comments </w:t>
      </w:r>
    </w:p>
    <w:p w14:paraId="4821193E" w14:textId="0D882047" w:rsidR="00FB16EB" w:rsidRPr="00987B78" w:rsidRDefault="00987B78" w:rsidP="00FB16EB">
      <w:pPr>
        <w:tabs>
          <w:tab w:val="left" w:pos="432"/>
          <w:tab w:val="left" w:pos="648"/>
        </w:tabs>
        <w:spacing w:after="120"/>
        <w:rPr>
          <w:rFonts w:eastAsia="Calibri"/>
        </w:rPr>
      </w:pPr>
      <w:r>
        <w:rPr>
          <w:rFonts w:eastAsia="Calibri"/>
        </w:rPr>
        <w:t>Help improve this guide. Email your suggestions to the Pennsylvania Land Trust Association at</w:t>
      </w:r>
      <w:r w:rsidR="00FB16EB" w:rsidRPr="00860EA1">
        <w:rPr>
          <w:rFonts w:eastAsia="Calibri"/>
          <w:i/>
        </w:rPr>
        <w:t xml:space="preserve"> </w:t>
      </w:r>
      <w:hyperlink r:id="rId26" w:history="1">
        <w:r w:rsidR="00FB16EB" w:rsidRPr="00987B78">
          <w:rPr>
            <w:rFonts w:eastAsia="Calibri"/>
            <w:color w:val="0000FF"/>
            <w:u w:val="single"/>
          </w:rPr>
          <w:t>aloza@conserveland.org</w:t>
        </w:r>
      </w:hyperlink>
      <w:r w:rsidR="00991272">
        <w:rPr>
          <w:rFonts w:eastAsia="Calibri"/>
        </w:rPr>
        <w:t>.</w:t>
      </w:r>
      <w:r>
        <w:rPr>
          <w:rFonts w:eastAsia="Calibri"/>
        </w:rPr>
        <w:t xml:space="preserve"> Thank you.</w:t>
      </w:r>
    </w:p>
    <w:p w14:paraId="38D22E20" w14:textId="77777777" w:rsidR="00FB16EB" w:rsidRPr="00FB16EB" w:rsidRDefault="00FB16EB" w:rsidP="00FB16EB">
      <w:pPr>
        <w:pStyle w:val="Heading1-noTOC"/>
        <w:rPr>
          <w:sz w:val="34"/>
          <w:szCs w:val="34"/>
        </w:rPr>
      </w:pPr>
      <w:r w:rsidRPr="00FB16EB">
        <w:rPr>
          <w:sz w:val="34"/>
          <w:szCs w:val="34"/>
        </w:rPr>
        <w:t>Acknowledgements</w:t>
      </w:r>
    </w:p>
    <w:p w14:paraId="23446491" w14:textId="66B47D22" w:rsidR="00FB16EB" w:rsidRPr="00FB16EB" w:rsidRDefault="00FB16EB" w:rsidP="00FB16EB">
      <w:pPr>
        <w:spacing w:after="200"/>
        <w:rPr>
          <w:color w:val="000000"/>
        </w:rPr>
      </w:pPr>
      <w:r w:rsidRPr="00860EA1">
        <w:t>PALTA staff researched and developed this tool with support from the following resources: The Pennsylv</w:t>
      </w:r>
      <w:r w:rsidRPr="00860EA1">
        <w:t>a</w:t>
      </w:r>
      <w:r w:rsidRPr="00860EA1">
        <w:t>nia Department of Agriculture, Bureau of Farmland Preservation website and the USDA Natural R</w:t>
      </w:r>
      <w:r w:rsidRPr="00860EA1">
        <w:t>e</w:t>
      </w:r>
      <w:r w:rsidRPr="00860EA1">
        <w:t>sources Conservation Service.</w:t>
      </w:r>
      <w:r w:rsidRPr="00860EA1">
        <w:rPr>
          <w:color w:val="000000"/>
        </w:rPr>
        <w:t xml:space="preserve"> </w:t>
      </w:r>
    </w:p>
    <w:p w14:paraId="5E20A8A4" w14:textId="77777777" w:rsidR="00860EA1" w:rsidRPr="00860EA1" w:rsidRDefault="00860EA1" w:rsidP="00860EA1">
      <w:pPr>
        <w:pBdr>
          <w:top w:val="single" w:sz="4" w:space="1" w:color="auto"/>
          <w:left w:val="single" w:sz="4" w:space="2" w:color="auto"/>
          <w:right w:val="single" w:sz="4" w:space="2" w:color="auto"/>
        </w:pBdr>
        <w:spacing w:before="400"/>
        <w:ind w:left="72" w:right="72"/>
        <w:rPr>
          <w:rFonts w:ascii="Gill Sans" w:hAnsi="Gill Sans" w:cs="Gill Sans"/>
          <w:sz w:val="28"/>
          <w:szCs w:val="28"/>
        </w:rPr>
      </w:pPr>
      <w:r w:rsidRPr="00860EA1">
        <w:rPr>
          <w:rFonts w:ascii="Gill Sans" w:hAnsi="Gill Sans" w:cs="Gill Sans"/>
          <w:sz w:val="28"/>
          <w:szCs w:val="28"/>
        </w:rPr>
        <w:t>Disclaimer</w:t>
      </w:r>
    </w:p>
    <w:p w14:paraId="25F28142" w14:textId="77777777" w:rsidR="00860EA1" w:rsidRPr="00860EA1" w:rsidRDefault="00860EA1" w:rsidP="00860EA1">
      <w:pPr>
        <w:pBdr>
          <w:left w:val="single" w:sz="4" w:space="2" w:color="auto"/>
          <w:bottom w:val="single" w:sz="4" w:space="1" w:color="auto"/>
          <w:right w:val="single" w:sz="4" w:space="2" w:color="auto"/>
        </w:pBdr>
        <w:ind w:left="72" w:right="72"/>
        <w:jc w:val="both"/>
        <w:rPr>
          <w:spacing w:val="-2"/>
          <w:sz w:val="18"/>
          <w:szCs w:val="18"/>
        </w:rPr>
      </w:pPr>
      <w:r w:rsidRPr="00860EA1">
        <w:rPr>
          <w:spacing w:val="-2"/>
          <w:sz w:val="18"/>
          <w:szCs w:val="18"/>
        </w:rPr>
        <w:t>Nothing contained in this or any other document available at Co</w:t>
      </w:r>
      <w:r w:rsidRPr="00860EA1">
        <w:rPr>
          <w:spacing w:val="-2"/>
          <w:sz w:val="18"/>
          <w:szCs w:val="18"/>
        </w:rPr>
        <w:t>n</w:t>
      </w:r>
      <w:r w:rsidRPr="00860EA1">
        <w:rPr>
          <w:spacing w:val="-2"/>
          <w:sz w:val="18"/>
          <w:szCs w:val="18"/>
        </w:rPr>
        <w:t>servationTools.org is intended to be relied upon as legal advice. The authors disclaim any attorney-client relationship with anyone to whom this document is furnished. Nothing contained in this document is intended to be used, and cannot be used, for the pu</w:t>
      </w:r>
      <w:r w:rsidRPr="00860EA1">
        <w:rPr>
          <w:spacing w:val="-2"/>
          <w:sz w:val="18"/>
          <w:szCs w:val="18"/>
        </w:rPr>
        <w:t>r</w:t>
      </w:r>
      <w:r w:rsidRPr="00860EA1">
        <w:rPr>
          <w:spacing w:val="-2"/>
          <w:sz w:val="18"/>
          <w:szCs w:val="18"/>
        </w:rPr>
        <w:lastRenderedPageBreak/>
        <w:t>pose of (</w:t>
      </w:r>
      <w:proofErr w:type="spellStart"/>
      <w:r w:rsidRPr="00860EA1">
        <w:rPr>
          <w:spacing w:val="-2"/>
          <w:sz w:val="18"/>
          <w:szCs w:val="18"/>
        </w:rPr>
        <w:t>i</w:t>
      </w:r>
      <w:proofErr w:type="spellEnd"/>
      <w:r w:rsidRPr="00860EA1">
        <w:rPr>
          <w:spacing w:val="-2"/>
          <w:sz w:val="18"/>
          <w:szCs w:val="18"/>
        </w:rPr>
        <w:t>) avoiding penalties under the Internal Revenue Code or (ii) promoting, marketing or recommending to any person any transaction or matter addressed in this document.</w:t>
      </w:r>
    </w:p>
    <w:p w14:paraId="6355871C" w14:textId="77777777" w:rsidR="00860EA1" w:rsidRPr="00860EA1" w:rsidRDefault="00860EA1" w:rsidP="00860EA1"/>
    <w:p w14:paraId="753C8E08" w14:textId="33CFE826" w:rsidR="00860EA1" w:rsidRPr="00860EA1" w:rsidRDefault="00860EA1" w:rsidP="00860EA1">
      <w:pPr>
        <w:tabs>
          <w:tab w:val="left" w:pos="432"/>
          <w:tab w:val="left" w:pos="648"/>
        </w:tabs>
        <w:spacing w:after="120"/>
        <w:rPr>
          <w:rFonts w:eastAsia="Calibri"/>
        </w:rPr>
      </w:pPr>
      <w:r w:rsidRPr="00860EA1">
        <w:rPr>
          <w:rFonts w:eastAsia="Calibri"/>
        </w:rPr>
        <w:t xml:space="preserve">© </w:t>
      </w:r>
      <w:r w:rsidR="00C51174">
        <w:rPr>
          <w:rFonts w:eastAsia="Calibri"/>
        </w:rPr>
        <w:t xml:space="preserve">2009, </w:t>
      </w:r>
      <w:r w:rsidRPr="00802370">
        <w:rPr>
          <w:rFonts w:eastAsia="Calibri"/>
        </w:rPr>
        <w:t>2012, 2013</w:t>
      </w:r>
      <w:r>
        <w:rPr>
          <w:rFonts w:eastAsia="Calibri"/>
        </w:rPr>
        <w:t>, 2017</w:t>
      </w:r>
      <w:r w:rsidRPr="00860EA1">
        <w:rPr>
          <w:rFonts w:eastAsia="Calibri"/>
        </w:rPr>
        <w:t xml:space="preserve"> Pennsylvania Land Trust A</w:t>
      </w:r>
      <w:r w:rsidRPr="00860EA1">
        <w:rPr>
          <w:rFonts w:eastAsia="Calibri"/>
        </w:rPr>
        <w:t>s</w:t>
      </w:r>
      <w:r w:rsidRPr="00860EA1">
        <w:rPr>
          <w:rFonts w:eastAsia="Calibri"/>
        </w:rPr>
        <w:t>sociation</w:t>
      </w:r>
    </w:p>
    <w:p w14:paraId="2F21B8C7" w14:textId="77777777" w:rsidR="00860EA1" w:rsidRPr="00860EA1" w:rsidRDefault="00860EA1" w:rsidP="00860EA1">
      <w:pPr>
        <w:tabs>
          <w:tab w:val="left" w:pos="432"/>
          <w:tab w:val="left" w:pos="648"/>
        </w:tabs>
        <w:spacing w:after="120"/>
        <w:rPr>
          <w:rFonts w:eastAsia="Calibri"/>
        </w:rPr>
      </w:pPr>
      <w:r w:rsidRPr="00860EA1">
        <w:rPr>
          <w:rFonts w:eastAsia="Calibri"/>
        </w:rPr>
        <w:t>Text may be excerpted and reproduced with acknow</w:t>
      </w:r>
      <w:r w:rsidRPr="00860EA1">
        <w:rPr>
          <w:rFonts w:eastAsia="Calibri"/>
        </w:rPr>
        <w:t>l</w:t>
      </w:r>
      <w:r w:rsidRPr="00860EA1">
        <w:rPr>
          <w:rFonts w:eastAsia="Calibri"/>
        </w:rPr>
        <w:t xml:space="preserve">edgement of </w:t>
      </w:r>
      <w:hyperlink r:id="rId27" w:history="1">
        <w:r w:rsidRPr="00860EA1">
          <w:rPr>
            <w:rFonts w:eastAsia="Calibri"/>
            <w:i/>
            <w:color w:val="0000FF"/>
            <w:u w:val="single"/>
          </w:rPr>
          <w:t>ConservationTools.org</w:t>
        </w:r>
      </w:hyperlink>
      <w:r w:rsidRPr="00860EA1">
        <w:rPr>
          <w:rFonts w:eastAsia="Calibri"/>
        </w:rPr>
        <w:t xml:space="preserve"> and the Pennsylvania Land Trust Association.</w:t>
      </w:r>
    </w:p>
    <w:p w14:paraId="3BBA651D" w14:textId="77777777" w:rsidR="00860EA1" w:rsidRPr="00860EA1" w:rsidRDefault="00860EA1" w:rsidP="00860EA1"/>
    <w:p w14:paraId="204618E6" w14:textId="15568B73" w:rsidR="00D423F8" w:rsidRPr="005E792D" w:rsidRDefault="00D423F8" w:rsidP="00D2765E">
      <w:pPr>
        <w:pStyle w:val="Heading1-noTOC"/>
      </w:pPr>
    </w:p>
    <w:p w14:paraId="1FC4E86A" w14:textId="77777777" w:rsidR="00E77051" w:rsidRPr="005E792D" w:rsidRDefault="00E77051" w:rsidP="009C03CE">
      <w:pPr>
        <w:pStyle w:val="BodyText"/>
      </w:pPr>
    </w:p>
    <w:p w14:paraId="59CCD57E" w14:textId="77777777" w:rsidR="00560FB8" w:rsidRPr="005E792D" w:rsidRDefault="00560FB8" w:rsidP="00560FB8"/>
    <w:sectPr w:rsidR="00560FB8" w:rsidRPr="005E792D" w:rsidSect="001B5E2E">
      <w:headerReference w:type="even" r:id="rId28"/>
      <w:headerReference w:type="default" r:id="rId29"/>
      <w:footerReference w:type="default" r:id="rId30"/>
      <w:headerReference w:type="first" r:id="rId31"/>
      <w:footerReference w:type="first" r:id="rId32"/>
      <w:endnotePr>
        <w:numFmt w:val="decimal"/>
      </w:endnotePr>
      <w:pgSz w:w="12240" w:h="15840"/>
      <w:pgMar w:top="1152" w:right="576" w:bottom="864" w:left="576" w:header="576" w:footer="576" w:gutter="0"/>
      <w:cols w:num="2" w:space="432"/>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87150" w14:textId="77777777" w:rsidR="00842C01" w:rsidRDefault="00842C01" w:rsidP="00421A32">
      <w:r>
        <w:separator/>
      </w:r>
    </w:p>
  </w:endnote>
  <w:endnote w:type="continuationSeparator" w:id="0">
    <w:p w14:paraId="6B52ECDA" w14:textId="77777777" w:rsidR="00842C01" w:rsidRDefault="00842C01"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AF94" w14:textId="47505A34" w:rsidR="00084148" w:rsidRPr="00A94518" w:rsidRDefault="00084148"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903F" w14:textId="0F2A7F06" w:rsidR="00E441C7" w:rsidRPr="00CD569E" w:rsidRDefault="00084148">
    <w:pPr>
      <w:pStyle w:val="Footer"/>
      <w:rPr>
        <w:rFonts w:cs="Gill Sans"/>
        <w:sz w:val="16"/>
        <w:szCs w:val="16"/>
      </w:rPr>
    </w:pPr>
    <w:r w:rsidRPr="009F76BC">
      <w:rPr>
        <w:rFonts w:cs="Gill Sans"/>
        <w:sz w:val="16"/>
        <w:szCs w:val="16"/>
      </w:rPr>
      <w:t>L</w:t>
    </w:r>
    <w:r w:rsidR="00E31506">
      <w:rPr>
        <w:rFonts w:cs="Gill Sans"/>
        <w:sz w:val="16"/>
        <w:szCs w:val="16"/>
      </w:rPr>
      <w:t xml:space="preserve">ast updated on </w:t>
    </w:r>
    <w:r w:rsidR="00E56C0F">
      <w:rPr>
        <w:rFonts w:cs="Gill Sans"/>
        <w:sz w:val="16"/>
        <w:szCs w:val="16"/>
      </w:rPr>
      <w:t>2/3</w:t>
    </w:r>
    <w:r w:rsidR="00E441C7">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7C9F1" w14:textId="77777777" w:rsidR="00842C01" w:rsidRDefault="00842C01" w:rsidP="00421A32">
      <w:r>
        <w:separator/>
      </w:r>
    </w:p>
  </w:footnote>
  <w:footnote w:type="continuationSeparator" w:id="0">
    <w:p w14:paraId="7E37D66F" w14:textId="77777777" w:rsidR="00842C01" w:rsidRDefault="00842C01"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0CC7" w14:textId="68A67D00" w:rsidR="00084148" w:rsidRPr="00971933" w:rsidRDefault="00084148"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E3154A">
      <w:rPr>
        <w:rStyle w:val="PageNumber"/>
        <w:noProof/>
      </w:rPr>
      <w:t>4</w:t>
    </w:r>
    <w:r w:rsidRPr="00E73049">
      <w:rPr>
        <w:rStyle w:val="PageNumber"/>
      </w:rPr>
      <w:fldChar w:fldCharType="end"/>
    </w:r>
    <w:r>
      <w:rPr>
        <w:rStyle w:val="PageNumber"/>
      </w:rPr>
      <w:tab/>
    </w:r>
    <w:r w:rsidR="00BF6706">
      <w:t>Agricultural Conservation Easement Purchase Program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CDF2" w14:textId="051B2A4B" w:rsidR="00084148" w:rsidRPr="00121AF6" w:rsidRDefault="001B5E2E" w:rsidP="001B5E2E">
    <w:pPr>
      <w:pStyle w:val="Header"/>
    </w:pPr>
    <w:r w:rsidRPr="00A94518">
      <w:rPr>
        <w:noProof/>
      </w:rPr>
      <w:drawing>
        <wp:anchor distT="0" distB="0" distL="114300" distR="114300" simplePos="0" relativeHeight="251658240" behindDoc="1" locked="0" layoutInCell="1" allowOverlap="1" wp14:anchorId="63DB6209" wp14:editId="3FE4BBA4">
          <wp:simplePos x="0" y="0"/>
          <wp:positionH relativeFrom="column">
            <wp:posOffset>224790</wp:posOffset>
          </wp:positionH>
          <wp:positionV relativeFrom="paragraph">
            <wp:posOffset>-184785</wp:posOffset>
          </wp:positionV>
          <wp:extent cx="1057275" cy="410845"/>
          <wp:effectExtent l="0" t="0" r="9525" b="8255"/>
          <wp:wrapThrough wrapText="bothSides">
            <wp:wrapPolygon edited="0">
              <wp:start x="11676" y="0"/>
              <wp:lineTo x="0" y="7011"/>
              <wp:lineTo x="0" y="13020"/>
              <wp:lineTo x="5059" y="18028"/>
              <wp:lineTo x="9341" y="21032"/>
              <wp:lineTo x="13622" y="21032"/>
              <wp:lineTo x="15957" y="21032"/>
              <wp:lineTo x="21405" y="19029"/>
              <wp:lineTo x="21405" y="5008"/>
              <wp:lineTo x="14400" y="0"/>
              <wp:lineTo x="11676" y="0"/>
            </wp:wrapPolygon>
          </wp:wrapThrough>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57275" cy="410845"/>
                  </a:xfrm>
                  <a:prstGeom prst="rect">
                    <a:avLst/>
                  </a:prstGeom>
                  <a:noFill/>
                  <a:ln w="9525">
                    <a:noFill/>
                    <a:miter lim="800000"/>
                    <a:headEnd/>
                    <a:tailEnd/>
                  </a:ln>
                </pic:spPr>
              </pic:pic>
            </a:graphicData>
          </a:graphic>
        </wp:anchor>
      </w:drawing>
    </w:r>
    <w:r>
      <w:tab/>
    </w:r>
    <w:r w:rsidR="00084148" w:rsidRPr="00121AF6">
      <w:t>Pennsylvania Land Trust Association</w:t>
    </w:r>
    <w:r w:rsidR="00084148">
      <w:tab/>
    </w:r>
    <w:r w:rsidR="00084148" w:rsidRPr="00A94518">
      <w:rPr>
        <w:rStyle w:val="PageNumber"/>
      </w:rPr>
      <w:fldChar w:fldCharType="begin"/>
    </w:r>
    <w:r w:rsidR="00084148" w:rsidRPr="00A94518">
      <w:rPr>
        <w:rStyle w:val="PageNumber"/>
      </w:rPr>
      <w:instrText xml:space="preserve"> PAGE </w:instrText>
    </w:r>
    <w:r w:rsidR="00084148" w:rsidRPr="00A94518">
      <w:rPr>
        <w:rStyle w:val="PageNumber"/>
      </w:rPr>
      <w:fldChar w:fldCharType="separate"/>
    </w:r>
    <w:r w:rsidR="00E3154A">
      <w:rPr>
        <w:rStyle w:val="PageNumber"/>
        <w:noProof/>
      </w:rPr>
      <w:t>5</w:t>
    </w:r>
    <w:r w:rsidR="00084148"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0E25" w14:textId="524AE76F" w:rsidR="00E31506" w:rsidRDefault="00084148" w:rsidP="00E77051">
    <w:pPr>
      <w:pStyle w:val="Title"/>
    </w:pPr>
    <w:r w:rsidRPr="009A62DC">
      <w:rPr>
        <w:noProof/>
      </w:rPr>
      <w:drawing>
        <wp:anchor distT="0" distB="0" distL="114300" distR="114300" simplePos="0" relativeHeight="251656189"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A218A7">
      <w:t>Agricultural Conservation Easement Purchase Program</w:t>
    </w:r>
  </w:p>
  <w:p w14:paraId="437A0668" w14:textId="382D7B17" w:rsidR="006301A6" w:rsidRPr="009A62DC" w:rsidRDefault="00120F2B" w:rsidP="006301A6">
    <w:pPr>
      <w:pStyle w:val="Subtitle"/>
    </w:pPr>
    <w:r>
      <w:t xml:space="preserve">A </w:t>
    </w:r>
    <w:r w:rsidR="006301A6">
      <w:t>Pennsylvania Tool for Preserving Farmland</w:t>
    </w:r>
  </w:p>
  <w:p w14:paraId="366A02D7" w14:textId="45EC545E" w:rsidR="00084148" w:rsidRPr="00B80F42" w:rsidRDefault="00A218A7" w:rsidP="00C2281E">
    <w:pPr>
      <w:pStyle w:val="Blurb"/>
    </w:pPr>
    <w:r>
      <w:t xml:space="preserve">The Pennsylvania Agricultural Conservation Easement Purchase Program enables state and county governments to purchase conservation easements on </w:t>
    </w:r>
    <w:r w:rsidR="00C735CB">
      <w:t xml:space="preserve">productive </w:t>
    </w:r>
    <w:r>
      <w:t>farms</w:t>
    </w:r>
    <w:r w:rsidR="006301A6">
      <w:t>.</w:t>
    </w:r>
    <w:r w:rsidR="00FB037E">
      <w:t xml:space="preserve"> The easements protect the farmland</w:t>
    </w:r>
    <w:r w:rsidR="006301A6">
      <w:t xml:space="preserve"> from </w:t>
    </w:r>
    <w:r w:rsidR="002B64C6">
      <w:t xml:space="preserve">non-agricultural </w:t>
    </w:r>
    <w:r w:rsidR="006301A6">
      <w:t>development</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FC7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A0092E"/>
    <w:lvl w:ilvl="0">
      <w:start w:val="1"/>
      <w:numFmt w:val="decimal"/>
      <w:lvlText w:val="%1."/>
      <w:lvlJc w:val="left"/>
      <w:pPr>
        <w:tabs>
          <w:tab w:val="num" w:pos="1800"/>
        </w:tabs>
        <w:ind w:left="1800" w:hanging="360"/>
      </w:pPr>
    </w:lvl>
  </w:abstractNum>
  <w:abstractNum w:abstractNumId="2">
    <w:nsid w:val="FFFFFF7D"/>
    <w:multiLevelType w:val="singleLevel"/>
    <w:tmpl w:val="AD2634FA"/>
    <w:lvl w:ilvl="0">
      <w:start w:val="1"/>
      <w:numFmt w:val="decimal"/>
      <w:lvlText w:val="%1."/>
      <w:lvlJc w:val="left"/>
      <w:pPr>
        <w:tabs>
          <w:tab w:val="num" w:pos="1440"/>
        </w:tabs>
        <w:ind w:left="1440" w:hanging="360"/>
      </w:pPr>
    </w:lvl>
  </w:abstractNum>
  <w:abstractNum w:abstractNumId="3">
    <w:nsid w:val="FFFFFF7E"/>
    <w:multiLevelType w:val="singleLevel"/>
    <w:tmpl w:val="CA62CAB6"/>
    <w:lvl w:ilvl="0">
      <w:start w:val="1"/>
      <w:numFmt w:val="decimal"/>
      <w:lvlText w:val="%1."/>
      <w:lvlJc w:val="left"/>
      <w:pPr>
        <w:tabs>
          <w:tab w:val="num" w:pos="1080"/>
        </w:tabs>
        <w:ind w:left="1080" w:hanging="360"/>
      </w:pPr>
    </w:lvl>
  </w:abstractNum>
  <w:abstractNum w:abstractNumId="4">
    <w:nsid w:val="FFFFFF80"/>
    <w:multiLevelType w:val="singleLevel"/>
    <w:tmpl w:val="AD8EA0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D68E82"/>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323C9800"/>
    <w:lvl w:ilvl="0">
      <w:start w:val="1"/>
      <w:numFmt w:val="decimal"/>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E4097C"/>
    <w:multiLevelType w:val="hybridMultilevel"/>
    <w:tmpl w:val="9D00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F7D91"/>
    <w:multiLevelType w:val="hybridMultilevel"/>
    <w:tmpl w:val="D26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D6254"/>
    <w:multiLevelType w:val="hybridMultilevel"/>
    <w:tmpl w:val="E77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A4914E4"/>
    <w:multiLevelType w:val="hybridMultilevel"/>
    <w:tmpl w:val="308E2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D5500"/>
    <w:multiLevelType w:val="hybridMultilevel"/>
    <w:tmpl w:val="DF6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05112"/>
    <w:multiLevelType w:val="hybridMultilevel"/>
    <w:tmpl w:val="F47280BA"/>
    <w:lvl w:ilvl="0" w:tplc="EAFA0FCE">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2"/>
  </w:num>
  <w:num w:numId="2">
    <w:abstractNumId w:val="20"/>
  </w:num>
  <w:num w:numId="3">
    <w:abstractNumId w:val="8"/>
  </w:num>
  <w:num w:numId="4">
    <w:abstractNumId w:val="6"/>
  </w:num>
  <w:num w:numId="5">
    <w:abstractNumId w:val="14"/>
  </w:num>
  <w:num w:numId="6">
    <w:abstractNumId w:val="11"/>
  </w:num>
  <w:num w:numId="7">
    <w:abstractNumId w:val="1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7"/>
  </w:num>
  <w:num w:numId="18">
    <w:abstractNumId w:val="13"/>
  </w:num>
  <w:num w:numId="19">
    <w:abstractNumId w:val="15"/>
  </w:num>
  <w:num w:numId="20">
    <w:abstractNumId w:val="10"/>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548D"/>
    <w:rsid w:val="000231DC"/>
    <w:rsid w:val="00026219"/>
    <w:rsid w:val="00037095"/>
    <w:rsid w:val="00037E9B"/>
    <w:rsid w:val="00040473"/>
    <w:rsid w:val="00046629"/>
    <w:rsid w:val="000500DA"/>
    <w:rsid w:val="00053144"/>
    <w:rsid w:val="000560E1"/>
    <w:rsid w:val="00061B07"/>
    <w:rsid w:val="000639E6"/>
    <w:rsid w:val="0007178A"/>
    <w:rsid w:val="00077A75"/>
    <w:rsid w:val="000805D4"/>
    <w:rsid w:val="000814AE"/>
    <w:rsid w:val="000834AC"/>
    <w:rsid w:val="00084148"/>
    <w:rsid w:val="000849C4"/>
    <w:rsid w:val="00090AF5"/>
    <w:rsid w:val="00092672"/>
    <w:rsid w:val="00097E50"/>
    <w:rsid w:val="00097FB3"/>
    <w:rsid w:val="000A5E3C"/>
    <w:rsid w:val="000C0E40"/>
    <w:rsid w:val="000C2169"/>
    <w:rsid w:val="000C5114"/>
    <w:rsid w:val="000C654A"/>
    <w:rsid w:val="000C7395"/>
    <w:rsid w:val="000C7F9F"/>
    <w:rsid w:val="000D06C9"/>
    <w:rsid w:val="000D54E2"/>
    <w:rsid w:val="000D7D05"/>
    <w:rsid w:val="000E4DBB"/>
    <w:rsid w:val="000E6077"/>
    <w:rsid w:val="000F1E37"/>
    <w:rsid w:val="000F371F"/>
    <w:rsid w:val="000F381C"/>
    <w:rsid w:val="000F4EB5"/>
    <w:rsid w:val="000F578F"/>
    <w:rsid w:val="00100326"/>
    <w:rsid w:val="00103D11"/>
    <w:rsid w:val="00107AAD"/>
    <w:rsid w:val="00113942"/>
    <w:rsid w:val="001143CC"/>
    <w:rsid w:val="001166D4"/>
    <w:rsid w:val="00117467"/>
    <w:rsid w:val="00120C68"/>
    <w:rsid w:val="00120F2B"/>
    <w:rsid w:val="00121071"/>
    <w:rsid w:val="00121AA7"/>
    <w:rsid w:val="00121AF6"/>
    <w:rsid w:val="00123D57"/>
    <w:rsid w:val="001242EA"/>
    <w:rsid w:val="001279D7"/>
    <w:rsid w:val="00131179"/>
    <w:rsid w:val="0014080C"/>
    <w:rsid w:val="00146C11"/>
    <w:rsid w:val="00147DE0"/>
    <w:rsid w:val="001517A5"/>
    <w:rsid w:val="00153F24"/>
    <w:rsid w:val="00162014"/>
    <w:rsid w:val="001642D4"/>
    <w:rsid w:val="00166C28"/>
    <w:rsid w:val="0017009A"/>
    <w:rsid w:val="00182E97"/>
    <w:rsid w:val="001877A2"/>
    <w:rsid w:val="0019023B"/>
    <w:rsid w:val="00191670"/>
    <w:rsid w:val="00192BE8"/>
    <w:rsid w:val="00192FDD"/>
    <w:rsid w:val="00193F96"/>
    <w:rsid w:val="00195922"/>
    <w:rsid w:val="001A3FE8"/>
    <w:rsid w:val="001A44B3"/>
    <w:rsid w:val="001A7EB6"/>
    <w:rsid w:val="001B234C"/>
    <w:rsid w:val="001B3191"/>
    <w:rsid w:val="001B3266"/>
    <w:rsid w:val="001B5E2E"/>
    <w:rsid w:val="001C26DE"/>
    <w:rsid w:val="001C4185"/>
    <w:rsid w:val="001E0847"/>
    <w:rsid w:val="001E0B59"/>
    <w:rsid w:val="001E16F4"/>
    <w:rsid w:val="001F3258"/>
    <w:rsid w:val="001F351E"/>
    <w:rsid w:val="001F3AEF"/>
    <w:rsid w:val="001F4223"/>
    <w:rsid w:val="001F44A6"/>
    <w:rsid w:val="001F61A1"/>
    <w:rsid w:val="00200BF8"/>
    <w:rsid w:val="00201CF8"/>
    <w:rsid w:val="00202826"/>
    <w:rsid w:val="00202F06"/>
    <w:rsid w:val="00205B38"/>
    <w:rsid w:val="00213BDE"/>
    <w:rsid w:val="00213E46"/>
    <w:rsid w:val="00216D7B"/>
    <w:rsid w:val="002224B5"/>
    <w:rsid w:val="00225B62"/>
    <w:rsid w:val="00226BE4"/>
    <w:rsid w:val="00227830"/>
    <w:rsid w:val="002300F6"/>
    <w:rsid w:val="0023491D"/>
    <w:rsid w:val="00235B21"/>
    <w:rsid w:val="00235D99"/>
    <w:rsid w:val="0024049E"/>
    <w:rsid w:val="00243159"/>
    <w:rsid w:val="002433AD"/>
    <w:rsid w:val="00245170"/>
    <w:rsid w:val="00250010"/>
    <w:rsid w:val="002627BC"/>
    <w:rsid w:val="002644D4"/>
    <w:rsid w:val="002648EA"/>
    <w:rsid w:val="00272A21"/>
    <w:rsid w:val="00276ADC"/>
    <w:rsid w:val="00281934"/>
    <w:rsid w:val="00283A3E"/>
    <w:rsid w:val="00285AF2"/>
    <w:rsid w:val="002863C3"/>
    <w:rsid w:val="00286FCD"/>
    <w:rsid w:val="00287EA2"/>
    <w:rsid w:val="002908EC"/>
    <w:rsid w:val="0029763B"/>
    <w:rsid w:val="002A3EB1"/>
    <w:rsid w:val="002A4CF4"/>
    <w:rsid w:val="002A614F"/>
    <w:rsid w:val="002B0A81"/>
    <w:rsid w:val="002B24C6"/>
    <w:rsid w:val="002B64C6"/>
    <w:rsid w:val="002B7B6A"/>
    <w:rsid w:val="002C1671"/>
    <w:rsid w:val="002D2AB8"/>
    <w:rsid w:val="002D3910"/>
    <w:rsid w:val="002E3B58"/>
    <w:rsid w:val="002E4B00"/>
    <w:rsid w:val="002F1503"/>
    <w:rsid w:val="002F4CC1"/>
    <w:rsid w:val="002F7679"/>
    <w:rsid w:val="002F76D8"/>
    <w:rsid w:val="003036D2"/>
    <w:rsid w:val="0030514A"/>
    <w:rsid w:val="00316EFD"/>
    <w:rsid w:val="00327FCD"/>
    <w:rsid w:val="00340540"/>
    <w:rsid w:val="00341672"/>
    <w:rsid w:val="00343E27"/>
    <w:rsid w:val="00345C9F"/>
    <w:rsid w:val="00351000"/>
    <w:rsid w:val="003538B6"/>
    <w:rsid w:val="00355D7E"/>
    <w:rsid w:val="00377254"/>
    <w:rsid w:val="00381B7B"/>
    <w:rsid w:val="003946D0"/>
    <w:rsid w:val="0039533A"/>
    <w:rsid w:val="003A20F8"/>
    <w:rsid w:val="003A6500"/>
    <w:rsid w:val="003B23A9"/>
    <w:rsid w:val="003B618F"/>
    <w:rsid w:val="003C3DD9"/>
    <w:rsid w:val="003C4759"/>
    <w:rsid w:val="003D1CDD"/>
    <w:rsid w:val="003D4651"/>
    <w:rsid w:val="003D4C50"/>
    <w:rsid w:val="003D6817"/>
    <w:rsid w:val="003D6A77"/>
    <w:rsid w:val="003E3592"/>
    <w:rsid w:val="003E401D"/>
    <w:rsid w:val="00401471"/>
    <w:rsid w:val="00405C01"/>
    <w:rsid w:val="00414AEE"/>
    <w:rsid w:val="00421A32"/>
    <w:rsid w:val="00425A5C"/>
    <w:rsid w:val="00425AFB"/>
    <w:rsid w:val="00426198"/>
    <w:rsid w:val="00432E69"/>
    <w:rsid w:val="00450C67"/>
    <w:rsid w:val="004513B2"/>
    <w:rsid w:val="00473B64"/>
    <w:rsid w:val="004831DE"/>
    <w:rsid w:val="00484FD1"/>
    <w:rsid w:val="004855FD"/>
    <w:rsid w:val="00490933"/>
    <w:rsid w:val="004917CD"/>
    <w:rsid w:val="0049418D"/>
    <w:rsid w:val="0049794D"/>
    <w:rsid w:val="004A0AAC"/>
    <w:rsid w:val="004A0F63"/>
    <w:rsid w:val="004A1C92"/>
    <w:rsid w:val="004A4B30"/>
    <w:rsid w:val="004A6721"/>
    <w:rsid w:val="004B1647"/>
    <w:rsid w:val="004B1965"/>
    <w:rsid w:val="004B2776"/>
    <w:rsid w:val="004B44FB"/>
    <w:rsid w:val="004C18EF"/>
    <w:rsid w:val="004D409C"/>
    <w:rsid w:val="004E0D4F"/>
    <w:rsid w:val="004E144C"/>
    <w:rsid w:val="004E1771"/>
    <w:rsid w:val="004E2B43"/>
    <w:rsid w:val="004F126D"/>
    <w:rsid w:val="004F17CF"/>
    <w:rsid w:val="004F27D7"/>
    <w:rsid w:val="004F538F"/>
    <w:rsid w:val="0050031A"/>
    <w:rsid w:val="005022BE"/>
    <w:rsid w:val="00510664"/>
    <w:rsid w:val="00510DE7"/>
    <w:rsid w:val="00511F8A"/>
    <w:rsid w:val="005128EE"/>
    <w:rsid w:val="00512BD7"/>
    <w:rsid w:val="0051343A"/>
    <w:rsid w:val="0051396D"/>
    <w:rsid w:val="00515270"/>
    <w:rsid w:val="0052032A"/>
    <w:rsid w:val="00524B1F"/>
    <w:rsid w:val="00525446"/>
    <w:rsid w:val="005268DC"/>
    <w:rsid w:val="0053096E"/>
    <w:rsid w:val="005320A1"/>
    <w:rsid w:val="0054016C"/>
    <w:rsid w:val="00541585"/>
    <w:rsid w:val="00542B94"/>
    <w:rsid w:val="005436FD"/>
    <w:rsid w:val="00543E62"/>
    <w:rsid w:val="00544E6A"/>
    <w:rsid w:val="0055625C"/>
    <w:rsid w:val="00557185"/>
    <w:rsid w:val="005609EA"/>
    <w:rsid w:val="00560FB8"/>
    <w:rsid w:val="0056112C"/>
    <w:rsid w:val="00566AD8"/>
    <w:rsid w:val="00572AF5"/>
    <w:rsid w:val="00573D94"/>
    <w:rsid w:val="005756D3"/>
    <w:rsid w:val="0057571D"/>
    <w:rsid w:val="00575DC9"/>
    <w:rsid w:val="00577963"/>
    <w:rsid w:val="00581419"/>
    <w:rsid w:val="005816F0"/>
    <w:rsid w:val="00582FF3"/>
    <w:rsid w:val="005907F8"/>
    <w:rsid w:val="00594605"/>
    <w:rsid w:val="00595CE7"/>
    <w:rsid w:val="00596B61"/>
    <w:rsid w:val="005A3979"/>
    <w:rsid w:val="005A5A7E"/>
    <w:rsid w:val="005B49F9"/>
    <w:rsid w:val="005C6007"/>
    <w:rsid w:val="005D2FF6"/>
    <w:rsid w:val="005D3C1D"/>
    <w:rsid w:val="005D3FB7"/>
    <w:rsid w:val="005D4D42"/>
    <w:rsid w:val="005E1250"/>
    <w:rsid w:val="005E1FB4"/>
    <w:rsid w:val="005E23A0"/>
    <w:rsid w:val="005E62FA"/>
    <w:rsid w:val="005E792D"/>
    <w:rsid w:val="005F1625"/>
    <w:rsid w:val="005F6375"/>
    <w:rsid w:val="006040D4"/>
    <w:rsid w:val="00604D0E"/>
    <w:rsid w:val="00612D3F"/>
    <w:rsid w:val="00620184"/>
    <w:rsid w:val="00620349"/>
    <w:rsid w:val="00621824"/>
    <w:rsid w:val="0062677C"/>
    <w:rsid w:val="00626B0E"/>
    <w:rsid w:val="006301A6"/>
    <w:rsid w:val="00645F87"/>
    <w:rsid w:val="00662B07"/>
    <w:rsid w:val="00664F0E"/>
    <w:rsid w:val="00665043"/>
    <w:rsid w:val="006651DF"/>
    <w:rsid w:val="00665C1F"/>
    <w:rsid w:val="00667450"/>
    <w:rsid w:val="00667A65"/>
    <w:rsid w:val="006708B5"/>
    <w:rsid w:val="006719BA"/>
    <w:rsid w:val="0067249C"/>
    <w:rsid w:val="00672C6C"/>
    <w:rsid w:val="006845B1"/>
    <w:rsid w:val="00692F04"/>
    <w:rsid w:val="0069301B"/>
    <w:rsid w:val="00696825"/>
    <w:rsid w:val="006A26F8"/>
    <w:rsid w:val="006A3966"/>
    <w:rsid w:val="006A50E7"/>
    <w:rsid w:val="006B04B3"/>
    <w:rsid w:val="006B41A8"/>
    <w:rsid w:val="006C5881"/>
    <w:rsid w:val="006D306F"/>
    <w:rsid w:val="006D3B2E"/>
    <w:rsid w:val="006D46C4"/>
    <w:rsid w:val="006E12C1"/>
    <w:rsid w:val="006E47C8"/>
    <w:rsid w:val="006E542F"/>
    <w:rsid w:val="006F00B4"/>
    <w:rsid w:val="006F1987"/>
    <w:rsid w:val="006F32FF"/>
    <w:rsid w:val="007037B9"/>
    <w:rsid w:val="00703F12"/>
    <w:rsid w:val="00704FC1"/>
    <w:rsid w:val="00710F17"/>
    <w:rsid w:val="00712962"/>
    <w:rsid w:val="0072069D"/>
    <w:rsid w:val="0073088A"/>
    <w:rsid w:val="00733EAB"/>
    <w:rsid w:val="007353D5"/>
    <w:rsid w:val="00741D5C"/>
    <w:rsid w:val="00744A82"/>
    <w:rsid w:val="0075129D"/>
    <w:rsid w:val="007532C4"/>
    <w:rsid w:val="00755C22"/>
    <w:rsid w:val="0075733A"/>
    <w:rsid w:val="00761594"/>
    <w:rsid w:val="00766A41"/>
    <w:rsid w:val="00767F38"/>
    <w:rsid w:val="007A2093"/>
    <w:rsid w:val="007B4663"/>
    <w:rsid w:val="007B4816"/>
    <w:rsid w:val="007B69E6"/>
    <w:rsid w:val="007C1651"/>
    <w:rsid w:val="007D20AE"/>
    <w:rsid w:val="007D2E03"/>
    <w:rsid w:val="007D4F03"/>
    <w:rsid w:val="007D5485"/>
    <w:rsid w:val="007D794C"/>
    <w:rsid w:val="007E3067"/>
    <w:rsid w:val="007E35EA"/>
    <w:rsid w:val="007F069C"/>
    <w:rsid w:val="00802370"/>
    <w:rsid w:val="008065D8"/>
    <w:rsid w:val="008136DA"/>
    <w:rsid w:val="00816EF2"/>
    <w:rsid w:val="00822E3E"/>
    <w:rsid w:val="00830326"/>
    <w:rsid w:val="00836874"/>
    <w:rsid w:val="008375DF"/>
    <w:rsid w:val="008414CF"/>
    <w:rsid w:val="00842C01"/>
    <w:rsid w:val="00845651"/>
    <w:rsid w:val="008478E2"/>
    <w:rsid w:val="00850106"/>
    <w:rsid w:val="00850E8A"/>
    <w:rsid w:val="008558BD"/>
    <w:rsid w:val="00856BEA"/>
    <w:rsid w:val="00860EA1"/>
    <w:rsid w:val="00862ADA"/>
    <w:rsid w:val="00863A57"/>
    <w:rsid w:val="0086449F"/>
    <w:rsid w:val="00864AEB"/>
    <w:rsid w:val="00866E6B"/>
    <w:rsid w:val="00872B92"/>
    <w:rsid w:val="00873369"/>
    <w:rsid w:val="00873D1E"/>
    <w:rsid w:val="0087496E"/>
    <w:rsid w:val="008757F5"/>
    <w:rsid w:val="00880606"/>
    <w:rsid w:val="0088065F"/>
    <w:rsid w:val="00882E68"/>
    <w:rsid w:val="008842B0"/>
    <w:rsid w:val="00884C50"/>
    <w:rsid w:val="00892716"/>
    <w:rsid w:val="0089369C"/>
    <w:rsid w:val="008955FD"/>
    <w:rsid w:val="008959E8"/>
    <w:rsid w:val="00897402"/>
    <w:rsid w:val="008A15FD"/>
    <w:rsid w:val="008A5EEF"/>
    <w:rsid w:val="008A658F"/>
    <w:rsid w:val="008B0F3E"/>
    <w:rsid w:val="008B1B7B"/>
    <w:rsid w:val="008B5657"/>
    <w:rsid w:val="008C3DBB"/>
    <w:rsid w:val="008C4C04"/>
    <w:rsid w:val="008C5F0D"/>
    <w:rsid w:val="008C7B00"/>
    <w:rsid w:val="008D4350"/>
    <w:rsid w:val="008E008A"/>
    <w:rsid w:val="008E5964"/>
    <w:rsid w:val="008E64D1"/>
    <w:rsid w:val="008F12E5"/>
    <w:rsid w:val="00915F77"/>
    <w:rsid w:val="00923766"/>
    <w:rsid w:val="00931B67"/>
    <w:rsid w:val="00932797"/>
    <w:rsid w:val="0094161E"/>
    <w:rsid w:val="00946C40"/>
    <w:rsid w:val="00950469"/>
    <w:rsid w:val="00950602"/>
    <w:rsid w:val="00951FFE"/>
    <w:rsid w:val="0095696D"/>
    <w:rsid w:val="00957018"/>
    <w:rsid w:val="00962808"/>
    <w:rsid w:val="00962DEF"/>
    <w:rsid w:val="009647AB"/>
    <w:rsid w:val="009662FC"/>
    <w:rsid w:val="00971933"/>
    <w:rsid w:val="00972327"/>
    <w:rsid w:val="00981A24"/>
    <w:rsid w:val="00982ED1"/>
    <w:rsid w:val="0098302C"/>
    <w:rsid w:val="00984828"/>
    <w:rsid w:val="00987B78"/>
    <w:rsid w:val="00991272"/>
    <w:rsid w:val="0099145D"/>
    <w:rsid w:val="00991AE0"/>
    <w:rsid w:val="00992323"/>
    <w:rsid w:val="00992433"/>
    <w:rsid w:val="0099471C"/>
    <w:rsid w:val="009A388B"/>
    <w:rsid w:val="009A62DC"/>
    <w:rsid w:val="009A6AA0"/>
    <w:rsid w:val="009B5E57"/>
    <w:rsid w:val="009B7048"/>
    <w:rsid w:val="009C03CE"/>
    <w:rsid w:val="009C1A41"/>
    <w:rsid w:val="009C556D"/>
    <w:rsid w:val="009C61F6"/>
    <w:rsid w:val="009D1197"/>
    <w:rsid w:val="009E4039"/>
    <w:rsid w:val="009E6114"/>
    <w:rsid w:val="009E71B5"/>
    <w:rsid w:val="009E7C8A"/>
    <w:rsid w:val="009F0189"/>
    <w:rsid w:val="009F164D"/>
    <w:rsid w:val="009F16A1"/>
    <w:rsid w:val="009F356F"/>
    <w:rsid w:val="009F5AF7"/>
    <w:rsid w:val="009F6219"/>
    <w:rsid w:val="009F76BC"/>
    <w:rsid w:val="00A00546"/>
    <w:rsid w:val="00A0182A"/>
    <w:rsid w:val="00A01A00"/>
    <w:rsid w:val="00A03C26"/>
    <w:rsid w:val="00A04DEA"/>
    <w:rsid w:val="00A05C28"/>
    <w:rsid w:val="00A06E20"/>
    <w:rsid w:val="00A125E9"/>
    <w:rsid w:val="00A13C51"/>
    <w:rsid w:val="00A14244"/>
    <w:rsid w:val="00A214FA"/>
    <w:rsid w:val="00A218A7"/>
    <w:rsid w:val="00A23D5E"/>
    <w:rsid w:val="00A30469"/>
    <w:rsid w:val="00A307DB"/>
    <w:rsid w:val="00A30FFE"/>
    <w:rsid w:val="00A32636"/>
    <w:rsid w:val="00A342A7"/>
    <w:rsid w:val="00A34618"/>
    <w:rsid w:val="00A37DAB"/>
    <w:rsid w:val="00A41BBA"/>
    <w:rsid w:val="00A433A1"/>
    <w:rsid w:val="00A457E8"/>
    <w:rsid w:val="00A46B39"/>
    <w:rsid w:val="00A47A90"/>
    <w:rsid w:val="00A57073"/>
    <w:rsid w:val="00A707E6"/>
    <w:rsid w:val="00A72A8B"/>
    <w:rsid w:val="00A76FE3"/>
    <w:rsid w:val="00A81C7F"/>
    <w:rsid w:val="00A82ADC"/>
    <w:rsid w:val="00A8411C"/>
    <w:rsid w:val="00A8500F"/>
    <w:rsid w:val="00A86742"/>
    <w:rsid w:val="00A90F1C"/>
    <w:rsid w:val="00A91EB7"/>
    <w:rsid w:val="00A9362D"/>
    <w:rsid w:val="00A94518"/>
    <w:rsid w:val="00AA5E93"/>
    <w:rsid w:val="00AB0FCF"/>
    <w:rsid w:val="00AB337A"/>
    <w:rsid w:val="00AB3F75"/>
    <w:rsid w:val="00AC5636"/>
    <w:rsid w:val="00AD330E"/>
    <w:rsid w:val="00AD625F"/>
    <w:rsid w:val="00AE63D3"/>
    <w:rsid w:val="00AF03CB"/>
    <w:rsid w:val="00AF4A93"/>
    <w:rsid w:val="00B000AE"/>
    <w:rsid w:val="00B068A3"/>
    <w:rsid w:val="00B070F4"/>
    <w:rsid w:val="00B22288"/>
    <w:rsid w:val="00B2313A"/>
    <w:rsid w:val="00B2517E"/>
    <w:rsid w:val="00B25320"/>
    <w:rsid w:val="00B272DC"/>
    <w:rsid w:val="00B30DBA"/>
    <w:rsid w:val="00B36E6A"/>
    <w:rsid w:val="00B41809"/>
    <w:rsid w:val="00B41A04"/>
    <w:rsid w:val="00B54E7B"/>
    <w:rsid w:val="00B60603"/>
    <w:rsid w:val="00B6293C"/>
    <w:rsid w:val="00B74322"/>
    <w:rsid w:val="00B75A7C"/>
    <w:rsid w:val="00B769B1"/>
    <w:rsid w:val="00B80F42"/>
    <w:rsid w:val="00B8246E"/>
    <w:rsid w:val="00B82B45"/>
    <w:rsid w:val="00B8360F"/>
    <w:rsid w:val="00B97E4D"/>
    <w:rsid w:val="00BA1424"/>
    <w:rsid w:val="00BA60EA"/>
    <w:rsid w:val="00BB227A"/>
    <w:rsid w:val="00BB5341"/>
    <w:rsid w:val="00BC1B09"/>
    <w:rsid w:val="00BC2470"/>
    <w:rsid w:val="00BC48E4"/>
    <w:rsid w:val="00BC4D44"/>
    <w:rsid w:val="00BD190A"/>
    <w:rsid w:val="00BE29AE"/>
    <w:rsid w:val="00BE46F0"/>
    <w:rsid w:val="00BE5B08"/>
    <w:rsid w:val="00BF4BEC"/>
    <w:rsid w:val="00BF4D89"/>
    <w:rsid w:val="00BF6706"/>
    <w:rsid w:val="00C00221"/>
    <w:rsid w:val="00C036C6"/>
    <w:rsid w:val="00C0442D"/>
    <w:rsid w:val="00C04899"/>
    <w:rsid w:val="00C07917"/>
    <w:rsid w:val="00C100E1"/>
    <w:rsid w:val="00C174BB"/>
    <w:rsid w:val="00C22192"/>
    <w:rsid w:val="00C2281E"/>
    <w:rsid w:val="00C34698"/>
    <w:rsid w:val="00C360DA"/>
    <w:rsid w:val="00C36826"/>
    <w:rsid w:val="00C37718"/>
    <w:rsid w:val="00C40E3B"/>
    <w:rsid w:val="00C41404"/>
    <w:rsid w:val="00C42FB8"/>
    <w:rsid w:val="00C43A8A"/>
    <w:rsid w:val="00C51174"/>
    <w:rsid w:val="00C545C1"/>
    <w:rsid w:val="00C546B8"/>
    <w:rsid w:val="00C54996"/>
    <w:rsid w:val="00C54C68"/>
    <w:rsid w:val="00C55908"/>
    <w:rsid w:val="00C57DCE"/>
    <w:rsid w:val="00C61AAB"/>
    <w:rsid w:val="00C633F1"/>
    <w:rsid w:val="00C65EA1"/>
    <w:rsid w:val="00C71BC0"/>
    <w:rsid w:val="00C735CB"/>
    <w:rsid w:val="00C747AB"/>
    <w:rsid w:val="00C9039E"/>
    <w:rsid w:val="00C96F79"/>
    <w:rsid w:val="00CA0929"/>
    <w:rsid w:val="00CA1337"/>
    <w:rsid w:val="00CA5943"/>
    <w:rsid w:val="00CB40C0"/>
    <w:rsid w:val="00CB6E6F"/>
    <w:rsid w:val="00CC0B34"/>
    <w:rsid w:val="00CC2CBF"/>
    <w:rsid w:val="00CC4D83"/>
    <w:rsid w:val="00CD2793"/>
    <w:rsid w:val="00CD569E"/>
    <w:rsid w:val="00CD5768"/>
    <w:rsid w:val="00CD5D05"/>
    <w:rsid w:val="00CE1BAD"/>
    <w:rsid w:val="00CE399A"/>
    <w:rsid w:val="00CE5EFB"/>
    <w:rsid w:val="00CE6AAD"/>
    <w:rsid w:val="00CF2BD4"/>
    <w:rsid w:val="00CF5D4C"/>
    <w:rsid w:val="00D043F4"/>
    <w:rsid w:val="00D077CB"/>
    <w:rsid w:val="00D12681"/>
    <w:rsid w:val="00D16BA1"/>
    <w:rsid w:val="00D25EBE"/>
    <w:rsid w:val="00D2765E"/>
    <w:rsid w:val="00D332B3"/>
    <w:rsid w:val="00D409A7"/>
    <w:rsid w:val="00D423F8"/>
    <w:rsid w:val="00D64C82"/>
    <w:rsid w:val="00D6558F"/>
    <w:rsid w:val="00D6661F"/>
    <w:rsid w:val="00D70EF0"/>
    <w:rsid w:val="00D7743D"/>
    <w:rsid w:val="00D77B87"/>
    <w:rsid w:val="00D8252B"/>
    <w:rsid w:val="00D84962"/>
    <w:rsid w:val="00D863CC"/>
    <w:rsid w:val="00D93F57"/>
    <w:rsid w:val="00D94B5A"/>
    <w:rsid w:val="00D95C8C"/>
    <w:rsid w:val="00D972E3"/>
    <w:rsid w:val="00DB17EF"/>
    <w:rsid w:val="00DB4B68"/>
    <w:rsid w:val="00DB5805"/>
    <w:rsid w:val="00DB5FF2"/>
    <w:rsid w:val="00DC2226"/>
    <w:rsid w:val="00DC2EA9"/>
    <w:rsid w:val="00DC5A63"/>
    <w:rsid w:val="00DC77D8"/>
    <w:rsid w:val="00DD1451"/>
    <w:rsid w:val="00DD68E3"/>
    <w:rsid w:val="00DE0B4F"/>
    <w:rsid w:val="00DE1C21"/>
    <w:rsid w:val="00DE2F5D"/>
    <w:rsid w:val="00DE346B"/>
    <w:rsid w:val="00DE62E6"/>
    <w:rsid w:val="00DF2ACB"/>
    <w:rsid w:val="00DF534A"/>
    <w:rsid w:val="00DF76DD"/>
    <w:rsid w:val="00E0482C"/>
    <w:rsid w:val="00E06DCD"/>
    <w:rsid w:val="00E104AF"/>
    <w:rsid w:val="00E1419A"/>
    <w:rsid w:val="00E1485D"/>
    <w:rsid w:val="00E16B3B"/>
    <w:rsid w:val="00E17D0F"/>
    <w:rsid w:val="00E3124E"/>
    <w:rsid w:val="00E31506"/>
    <w:rsid w:val="00E3154A"/>
    <w:rsid w:val="00E31950"/>
    <w:rsid w:val="00E374A3"/>
    <w:rsid w:val="00E37697"/>
    <w:rsid w:val="00E41357"/>
    <w:rsid w:val="00E441C7"/>
    <w:rsid w:val="00E4513A"/>
    <w:rsid w:val="00E50F54"/>
    <w:rsid w:val="00E5334D"/>
    <w:rsid w:val="00E54839"/>
    <w:rsid w:val="00E56C0F"/>
    <w:rsid w:val="00E57ADC"/>
    <w:rsid w:val="00E6560A"/>
    <w:rsid w:val="00E65B55"/>
    <w:rsid w:val="00E678F5"/>
    <w:rsid w:val="00E71C21"/>
    <w:rsid w:val="00E73049"/>
    <w:rsid w:val="00E73193"/>
    <w:rsid w:val="00E74C0F"/>
    <w:rsid w:val="00E77051"/>
    <w:rsid w:val="00E81F18"/>
    <w:rsid w:val="00E841C3"/>
    <w:rsid w:val="00E96BD2"/>
    <w:rsid w:val="00EA05C3"/>
    <w:rsid w:val="00EA0E0C"/>
    <w:rsid w:val="00EA45C8"/>
    <w:rsid w:val="00EA6C05"/>
    <w:rsid w:val="00EB4FBB"/>
    <w:rsid w:val="00EB5181"/>
    <w:rsid w:val="00EC2C6D"/>
    <w:rsid w:val="00EC5EB1"/>
    <w:rsid w:val="00EC636D"/>
    <w:rsid w:val="00EC7481"/>
    <w:rsid w:val="00ED028B"/>
    <w:rsid w:val="00ED649A"/>
    <w:rsid w:val="00ED7629"/>
    <w:rsid w:val="00EE1DFD"/>
    <w:rsid w:val="00EF4517"/>
    <w:rsid w:val="00EF60FA"/>
    <w:rsid w:val="00F1181A"/>
    <w:rsid w:val="00F21569"/>
    <w:rsid w:val="00F2337D"/>
    <w:rsid w:val="00F24B0F"/>
    <w:rsid w:val="00F3308F"/>
    <w:rsid w:val="00F35649"/>
    <w:rsid w:val="00F36CBA"/>
    <w:rsid w:val="00F4374E"/>
    <w:rsid w:val="00F442C3"/>
    <w:rsid w:val="00F5159A"/>
    <w:rsid w:val="00F5529F"/>
    <w:rsid w:val="00F6184B"/>
    <w:rsid w:val="00F626A6"/>
    <w:rsid w:val="00F64A0F"/>
    <w:rsid w:val="00F71F68"/>
    <w:rsid w:val="00F8284D"/>
    <w:rsid w:val="00F9034A"/>
    <w:rsid w:val="00F9502C"/>
    <w:rsid w:val="00FA2FC3"/>
    <w:rsid w:val="00FA5F53"/>
    <w:rsid w:val="00FA7C4F"/>
    <w:rsid w:val="00FB037E"/>
    <w:rsid w:val="00FB16EB"/>
    <w:rsid w:val="00FB2D5F"/>
    <w:rsid w:val="00FB3597"/>
    <w:rsid w:val="00FC2AB3"/>
    <w:rsid w:val="00FC3A82"/>
    <w:rsid w:val="00FC3ABA"/>
    <w:rsid w:val="00FC7861"/>
    <w:rsid w:val="00FC794A"/>
    <w:rsid w:val="00FD47F9"/>
    <w:rsid w:val="00FE0C6F"/>
    <w:rsid w:val="00FE10CE"/>
    <w:rsid w:val="00FE15AC"/>
    <w:rsid w:val="00FE1B94"/>
    <w:rsid w:val="00FE7AB0"/>
    <w:rsid w:val="00FE7B98"/>
    <w:rsid w:val="00FF0D9A"/>
    <w:rsid w:val="00FF1D1C"/>
    <w:rsid w:val="00FF2DC7"/>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AD1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Document Map"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F1"/>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6F32FF"/>
    <w:pPr>
      <w:tabs>
        <w:tab w:val="right" w:pos="8730"/>
      </w:tabs>
      <w:ind w:left="180" w:hanging="180"/>
    </w:pPr>
    <w:rPr>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8B1B7B"/>
    <w:pPr>
      <w:numPr>
        <w:numId w:val="1"/>
      </w:numPr>
    </w:pPr>
  </w:style>
  <w:style w:type="character" w:customStyle="1" w:styleId="BodyBulletChar">
    <w:name w:val="Body Bullet Char"/>
    <w:basedOn w:val="BodyTextChar"/>
    <w:link w:val="BodyBullet"/>
    <w:rsid w:val="008B1B7B"/>
    <w:rPr>
      <w:rFonts w:ascii="Palatino Linotype" w:eastAsia="Calibri" w:hAnsi="Palatino Linotype" w:cs="Times New Roman"/>
      <w:sz w:val="22"/>
      <w:lang w:eastAsia="en-US"/>
    </w:rPr>
  </w:style>
  <w:style w:type="paragraph" w:styleId="BodyTextIndent">
    <w:name w:val="Body Text Indent"/>
    <w:basedOn w:val="Normal"/>
    <w:link w:val="BodyTextIndentChar"/>
    <w:rsid w:val="007D20AE"/>
    <w:pPr>
      <w:spacing w:after="120"/>
      <w:ind w:left="216" w:right="216"/>
    </w:pPr>
  </w:style>
  <w:style w:type="character" w:customStyle="1" w:styleId="BodyTextIndentChar">
    <w:name w:val="Body Text Indent Char"/>
    <w:basedOn w:val="DefaultParagraphFont"/>
    <w:link w:val="BodyTextIndent"/>
    <w:rsid w:val="007D20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D2765E"/>
    <w:pPr>
      <w:spacing w:before="400"/>
    </w:pPr>
    <w:rPr>
      <w:rFonts w:ascii="Gill Sans" w:eastAsia="Calibri" w:hAnsi="Gill Sans" w:cs="Gill Sans"/>
      <w:sz w:val="28"/>
      <w:szCs w:val="28"/>
    </w:rPr>
  </w:style>
  <w:style w:type="character" w:customStyle="1" w:styleId="Heading1-noTOCChar">
    <w:name w:val="Heading1-noTOC Char"/>
    <w:basedOn w:val="DefaultParagraphFont"/>
    <w:link w:val="Heading1-noTOC"/>
    <w:rsid w:val="00D2765E"/>
    <w:rPr>
      <w:rFonts w:ascii="Gill Sans" w:eastAsia="Calibri" w:hAnsi="Gill Sans" w:cs="Gill Sans"/>
      <w:sz w:val="28"/>
      <w:szCs w:val="28"/>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Document Map"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F1"/>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6F32FF"/>
    <w:pPr>
      <w:tabs>
        <w:tab w:val="right" w:pos="8730"/>
      </w:tabs>
      <w:ind w:left="180" w:hanging="180"/>
    </w:pPr>
    <w:rPr>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8B1B7B"/>
    <w:pPr>
      <w:numPr>
        <w:numId w:val="1"/>
      </w:numPr>
    </w:pPr>
  </w:style>
  <w:style w:type="character" w:customStyle="1" w:styleId="BodyBulletChar">
    <w:name w:val="Body Bullet Char"/>
    <w:basedOn w:val="BodyTextChar"/>
    <w:link w:val="BodyBullet"/>
    <w:rsid w:val="008B1B7B"/>
    <w:rPr>
      <w:rFonts w:ascii="Palatino Linotype" w:eastAsia="Calibri" w:hAnsi="Palatino Linotype" w:cs="Times New Roman"/>
      <w:sz w:val="22"/>
      <w:lang w:eastAsia="en-US"/>
    </w:rPr>
  </w:style>
  <w:style w:type="paragraph" w:styleId="BodyTextIndent">
    <w:name w:val="Body Text Indent"/>
    <w:basedOn w:val="Normal"/>
    <w:link w:val="BodyTextIndentChar"/>
    <w:rsid w:val="007D20AE"/>
    <w:pPr>
      <w:spacing w:after="120"/>
      <w:ind w:left="216" w:right="216"/>
    </w:pPr>
  </w:style>
  <w:style w:type="character" w:customStyle="1" w:styleId="BodyTextIndentChar">
    <w:name w:val="Body Text Indent Char"/>
    <w:basedOn w:val="DefaultParagraphFont"/>
    <w:link w:val="BodyTextIndent"/>
    <w:rsid w:val="007D20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D2765E"/>
    <w:pPr>
      <w:spacing w:before="400"/>
    </w:pPr>
    <w:rPr>
      <w:rFonts w:ascii="Gill Sans" w:eastAsia="Calibri" w:hAnsi="Gill Sans" w:cs="Gill Sans"/>
      <w:sz w:val="28"/>
      <w:szCs w:val="28"/>
    </w:rPr>
  </w:style>
  <w:style w:type="character" w:customStyle="1" w:styleId="Heading1-noTOCChar">
    <w:name w:val="Heading1-noTOC Char"/>
    <w:basedOn w:val="DefaultParagraphFont"/>
    <w:link w:val="Heading1-noTOC"/>
    <w:rsid w:val="00D2765E"/>
    <w:rPr>
      <w:rFonts w:ascii="Gill Sans" w:eastAsia="Calibri" w:hAnsi="Gill Sans" w:cs="Gill Sans"/>
      <w:sz w:val="28"/>
      <w:szCs w:val="28"/>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ervationtools.org/library_items/936" TargetMode="External"/><Relationship Id="rId21" Type="http://schemas.openxmlformats.org/officeDocument/2006/relationships/hyperlink" Target="http://conservationtools.org/library_items/1419" TargetMode="External"/><Relationship Id="rId22" Type="http://schemas.openxmlformats.org/officeDocument/2006/relationships/hyperlink" Target="http://conservationtools.org/guides/47" TargetMode="External"/><Relationship Id="rId23" Type="http://schemas.openxmlformats.org/officeDocument/2006/relationships/hyperlink" Target="http://conservationtools.org/guides/49" TargetMode="External"/><Relationship Id="rId24" Type="http://schemas.openxmlformats.org/officeDocument/2006/relationships/hyperlink" Target="http://conservationtools.org/guides/19" TargetMode="External"/><Relationship Id="rId25" Type="http://schemas.openxmlformats.org/officeDocument/2006/relationships/hyperlink" Target="http://conservationtools.org/guides/148" TargetMode="External"/><Relationship Id="rId26" Type="http://schemas.openxmlformats.org/officeDocument/2006/relationships/hyperlink" Target="mailto:aloza@conserveland.org" TargetMode="External"/><Relationship Id="rId27" Type="http://schemas.openxmlformats.org/officeDocument/2006/relationships/hyperlink" Target="http://conservationtools.org"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header" Target="header3.xml"/><Relationship Id="rId32" Type="http://schemas.openxmlformats.org/officeDocument/2006/relationships/footer" Target="footer2.xml"/><Relationship Id="rId9" Type="http://schemas.openxmlformats.org/officeDocument/2006/relationships/hyperlink" Target="http://conservationtools.org/guides/19"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conservationtools.org/organizations/farmland" TargetMode="External"/><Relationship Id="rId11" Type="http://schemas.openxmlformats.org/officeDocument/2006/relationships/hyperlink" Target="http://conservationtools.org/guides/49" TargetMode="External"/><Relationship Id="rId12" Type="http://schemas.openxmlformats.org/officeDocument/2006/relationships/hyperlink" Target="http://conservationtools.org/guides/148" TargetMode="External"/><Relationship Id="rId13" Type="http://schemas.openxmlformats.org/officeDocument/2006/relationships/hyperlink" Target="http://conservationtools.org/glossary/251" TargetMode="External"/><Relationship Id="rId14" Type="http://schemas.openxmlformats.org/officeDocument/2006/relationships/hyperlink" Target="http://conservationtools.org/glossary/252" TargetMode="External"/><Relationship Id="rId15" Type="http://schemas.openxmlformats.org/officeDocument/2006/relationships/hyperlink" Target="http://conservationtools.org/glossary/250" TargetMode="External"/><Relationship Id="rId16" Type="http://schemas.openxmlformats.org/officeDocument/2006/relationships/hyperlink" Target="http://conservationtools.org/glossary/253" TargetMode="External"/><Relationship Id="rId17" Type="http://schemas.openxmlformats.org/officeDocument/2006/relationships/hyperlink" Target="http://conservationtools.org/guides/44" TargetMode="External"/><Relationship Id="rId18" Type="http://schemas.openxmlformats.org/officeDocument/2006/relationships/hyperlink" Target="http://www.agriculture.pa.gov/encourage/farmland/pages/default.aspx" TargetMode="External"/><Relationship Id="rId19" Type="http://schemas.openxmlformats.org/officeDocument/2006/relationships/hyperlink" Target="http://conservationtools.org/library_items/6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2B90C3-071F-4D42-B1E8-3C6F89CE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2311</Words>
  <Characters>13177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15458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Carol Grayshaw</cp:lastModifiedBy>
  <cp:revision>2</cp:revision>
  <cp:lastPrinted>2017-02-02T21:50:00Z</cp:lastPrinted>
  <dcterms:created xsi:type="dcterms:W3CDTF">2017-02-03T18:35:00Z</dcterms:created>
  <dcterms:modified xsi:type="dcterms:W3CDTF">2017-02-03T18:35:00Z</dcterms:modified>
  <cp:category/>
</cp:coreProperties>
</file>